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1BB392" w14:textId="10925119" w:rsidR="002523E3" w:rsidRPr="006552F5" w:rsidRDefault="006552F5" w:rsidP="006552F5">
      <w:pPr>
        <w:pStyle w:val="Title"/>
        <w:jc w:val="center"/>
        <w:rPr>
          <w:b/>
          <w:bCs/>
          <w:sz w:val="44"/>
          <w:szCs w:val="48"/>
        </w:rPr>
      </w:pPr>
      <w:r w:rsidRPr="006552F5">
        <w:rPr>
          <w:b/>
          <w:bCs/>
          <w:sz w:val="44"/>
          <w:szCs w:val="48"/>
        </w:rPr>
        <w:t>Research Next Steps</w:t>
      </w:r>
      <w:r w:rsidRPr="006552F5">
        <w:rPr>
          <w:b/>
          <w:bCs/>
          <w:sz w:val="44"/>
          <w:szCs w:val="48"/>
        </w:rPr>
        <w:t xml:space="preserve"> for </w:t>
      </w:r>
      <w:r w:rsidR="00000000" w:rsidRPr="006552F5">
        <w:rPr>
          <w:b/>
          <w:bCs/>
          <w:sz w:val="44"/>
          <w:szCs w:val="48"/>
        </w:rPr>
        <w:t>Urban Tree Cooling</w:t>
      </w:r>
    </w:p>
    <w:p w14:paraId="15E3DEE3" w14:textId="4EE4EF80" w:rsidR="009770A0" w:rsidRDefault="00000000" w:rsidP="006552F5">
      <w:pPr>
        <w:pStyle w:val="Subtitle"/>
        <w:jc w:val="center"/>
      </w:pPr>
      <w:r w:rsidRPr="006552F5">
        <w:rPr>
          <w:b/>
          <w:bCs/>
          <w:sz w:val="22"/>
          <w:szCs w:val="22"/>
        </w:rPr>
        <w:t>ECOSTRESS pilot assessment</w:t>
      </w:r>
      <w:r>
        <w:br/>
      </w:r>
    </w:p>
    <w:p w14:paraId="61EA66C8" w14:textId="77777777" w:rsidR="009770A0" w:rsidRDefault="00000000">
      <w:r>
        <w:rPr>
          <w:b/>
        </w:rPr>
        <w:t xml:space="preserve">Priority: </w:t>
      </w:r>
      <w:r>
        <w:t>Assess the existing Phoenix and Atlanta cooling estimates before adding cities. Individual spatial slopes can be estimated precisely, but a reliable morning–afternoon difference or publishable finding has not yet been established.</w:t>
      </w:r>
    </w:p>
    <w:p w14:paraId="7875E8F6" w14:textId="77777777" w:rsidR="009770A0" w:rsidRDefault="00000000">
      <w:r>
        <w:rPr>
          <w:b/>
        </w:rPr>
        <w:t xml:space="preserve">Workflow: </w:t>
      </w:r>
      <w:r>
        <w:t>Assemble Task 1 and the existing Task 2 comparisons before new modelling. Complete the targeted checks in Tasks 3 and 4 before selecting an extension in Task 5. Draft the methods and figure captions in parallel.</w:t>
      </w:r>
    </w:p>
    <w:p w14:paraId="5E770B31" w14:textId="77777777" w:rsidR="009770A0" w:rsidRDefault="00000000">
      <w:pPr>
        <w:pStyle w:val="Heading2"/>
      </w:pPr>
      <w:r>
        <w:t>Current status</w:t>
      </w:r>
    </w:p>
    <w:tbl>
      <w:tblPr>
        <w:tblW w:w="0" w:type="auto"/>
        <w:jc w:val="center"/>
        <w:tblLayout w:type="fixed"/>
        <w:tblLook w:val="04A0" w:firstRow="1" w:lastRow="0" w:firstColumn="1" w:lastColumn="0" w:noHBand="0" w:noVBand="1"/>
      </w:tblPr>
      <w:tblGrid>
        <w:gridCol w:w="1800"/>
        <w:gridCol w:w="3816"/>
        <w:gridCol w:w="4320"/>
      </w:tblGrid>
      <w:tr w:rsidR="009770A0" w14:paraId="411BE736"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17F55150" w14:textId="77777777" w:rsidR="009770A0" w:rsidRDefault="00000000">
            <w:pPr>
              <w:spacing w:after="0" w:line="250" w:lineRule="auto"/>
            </w:pPr>
            <w:r>
              <w:rPr>
                <w:b/>
                <w:sz w:val="21"/>
              </w:rPr>
              <w:t>Item</w:t>
            </w:r>
          </w:p>
        </w:tc>
        <w:tc>
          <w:tcPr>
            <w:tcW w:w="3816"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393D1CDD" w14:textId="77777777" w:rsidR="009770A0" w:rsidRDefault="00000000">
            <w:pPr>
              <w:spacing w:after="0" w:line="250" w:lineRule="auto"/>
            </w:pPr>
            <w:r>
              <w:rPr>
                <w:b/>
                <w:sz w:val="21"/>
              </w:rPr>
              <w:t>Verified status</w:t>
            </w:r>
          </w:p>
        </w:tc>
        <w:tc>
          <w:tcPr>
            <w:tcW w:w="4320"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788929F7" w14:textId="77777777" w:rsidR="009770A0" w:rsidRDefault="00000000">
            <w:pPr>
              <w:spacing w:after="0" w:line="250" w:lineRule="auto"/>
            </w:pPr>
            <w:r>
              <w:rPr>
                <w:b/>
                <w:sz w:val="21"/>
              </w:rPr>
              <w:t>What it means</w:t>
            </w:r>
          </w:p>
        </w:tc>
      </w:tr>
      <w:tr w:rsidR="009770A0" w14:paraId="67C2495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81CD78" w14:textId="77777777" w:rsidR="009770A0" w:rsidRDefault="00000000">
            <w:pPr>
              <w:spacing w:after="0" w:line="250" w:lineRule="auto"/>
            </w:pPr>
            <w:r>
              <w:rPr>
                <w:sz w:val="21"/>
              </w:rPr>
              <w:t>Current pilot</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CB4600B" w14:textId="77777777" w:rsidR="009770A0" w:rsidRDefault="00000000">
            <w:pPr>
              <w:spacing w:after="0" w:line="250" w:lineRule="auto"/>
            </w:pPr>
            <w:r>
              <w:rPr>
                <w:sz w:val="21"/>
              </w:rPr>
              <w:t>11 Phoenix passes and 5 Atlanta passes, all from 2023</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ED54B9B" w14:textId="77777777" w:rsidR="009770A0" w:rsidRDefault="00000000">
            <w:pPr>
              <w:spacing w:after="0" w:line="250" w:lineRule="auto"/>
            </w:pPr>
            <w:r>
              <w:rPr>
                <w:sz w:val="21"/>
              </w:rPr>
              <w:t>The six additions are Phoenix passes.</w:t>
            </w:r>
          </w:p>
        </w:tc>
      </w:tr>
      <w:tr w:rsidR="009770A0" w14:paraId="28E0456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23841B6C" w14:textId="77777777" w:rsidR="009770A0" w:rsidRDefault="00000000">
            <w:pPr>
              <w:spacing w:after="0" w:line="250" w:lineRule="auto"/>
            </w:pPr>
            <w:r>
              <w:rPr>
                <w:sz w:val="21"/>
              </w:rPr>
              <w:t>Phoenix precision</w:t>
            </w:r>
          </w:p>
        </w:tc>
        <w:tc>
          <w:tcPr>
            <w:tcW w:w="3816"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1E1CB409" w14:textId="77777777" w:rsidR="009770A0" w:rsidRDefault="00000000">
            <w:pPr>
              <w:spacing w:after="0" w:line="250" w:lineRule="auto"/>
            </w:pPr>
            <w:r>
              <w:rPr>
                <w:sz w:val="21"/>
              </w:rPr>
              <w:t>SE 0.017–0.054 K per 10 percentage points of canopy; 0.033–0.082 with 8 km groups</w:t>
            </w:r>
          </w:p>
        </w:tc>
        <w:tc>
          <w:tcPr>
            <w:tcW w:w="4320"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4E3380C8" w14:textId="77777777" w:rsidR="009770A0" w:rsidRDefault="00000000">
            <w:pPr>
              <w:spacing w:after="0" w:line="250" w:lineRule="auto"/>
            </w:pPr>
            <w:r>
              <w:rPr>
                <w:sz w:val="21"/>
              </w:rPr>
              <w:t>Promising precision for each pass, not evidence of a time effect.</w:t>
            </w:r>
          </w:p>
        </w:tc>
      </w:tr>
      <w:tr w:rsidR="009770A0" w14:paraId="301587C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ED29A71" w14:textId="77777777" w:rsidR="009770A0" w:rsidRDefault="00000000">
            <w:pPr>
              <w:spacing w:after="0" w:line="250" w:lineRule="auto"/>
            </w:pPr>
            <w:r>
              <w:rPr>
                <w:sz w:val="21"/>
              </w:rPr>
              <w:t>Atlanta precision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07BB2B9" w14:textId="77777777" w:rsidR="009770A0" w:rsidRDefault="00000000">
            <w:pPr>
              <w:spacing w:after="0" w:line="250" w:lineRule="auto"/>
            </w:pPr>
            <w:r>
              <w:rPr>
                <w:sz w:val="21"/>
              </w:rPr>
              <w:t>SE 0.002–0.009 K; 0.005–0.014 with 8 km groups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4843C99" w14:textId="77777777" w:rsidR="009770A0" w:rsidRDefault="00000000">
            <w:pPr>
              <w:spacing w:after="0" w:line="250" w:lineRule="auto"/>
            </w:pPr>
            <w:r>
              <w:rPr>
                <w:sz w:val="21"/>
              </w:rPr>
              <w:t>Five dates still provide limited temporal information.</w:t>
            </w:r>
          </w:p>
        </w:tc>
      </w:tr>
      <w:tr w:rsidR="009770A0" w14:paraId="505FB7A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4507DBF4" w14:textId="77777777" w:rsidR="009770A0" w:rsidRDefault="00000000">
            <w:pPr>
              <w:spacing w:after="0" w:line="250" w:lineRule="auto"/>
            </w:pPr>
            <w:r>
              <w:rPr>
                <w:sz w:val="21"/>
              </w:rPr>
              <w:t>Added Phoenix checks</w:t>
            </w:r>
          </w:p>
        </w:tc>
        <w:tc>
          <w:tcPr>
            <w:tcW w:w="3816"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598DEB9E" w14:textId="77777777" w:rsidR="009770A0" w:rsidRDefault="00000000">
            <w:pPr>
              <w:spacing w:after="0" w:line="250" w:lineRule="auto"/>
            </w:pPr>
            <w:r>
              <w:rPr>
                <w:sz w:val="21"/>
              </w:rPr>
              <w:t>65 paired fits and 65,000 bootstrap draws completed on 23 September</w:t>
            </w:r>
          </w:p>
        </w:tc>
        <w:tc>
          <w:tcPr>
            <w:tcW w:w="4320"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3494ED48" w14:textId="77777777" w:rsidR="009770A0" w:rsidRDefault="00000000">
            <w:pPr>
              <w:spacing w:after="0" w:line="250" w:lineRule="auto"/>
            </w:pPr>
            <w:r>
              <w:rPr>
                <w:sz w:val="21"/>
              </w:rPr>
              <w:t>Review the existing effect changes; do not repeat completed fits.</w:t>
            </w:r>
          </w:p>
        </w:tc>
      </w:tr>
      <w:tr w:rsidR="009770A0" w14:paraId="744C8FA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163D7F" w14:textId="77777777" w:rsidR="009770A0" w:rsidRDefault="00000000">
            <w:pPr>
              <w:spacing w:after="0" w:line="250" w:lineRule="auto"/>
            </w:pPr>
            <w:r>
              <w:rPr>
                <w:sz w:val="21"/>
              </w:rPr>
              <w:t>Common Phoenix footprint</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741D5DB" w14:textId="77777777" w:rsidR="009770A0" w:rsidRDefault="00000000">
            <w:pPr>
              <w:spacing w:after="0" w:line="250" w:lineRule="auto"/>
            </w:pPr>
            <w:r>
              <w:rPr>
                <w:sz w:val="21"/>
              </w:rPr>
              <w:t>196,090 cells; 35.2–57.3% of each pass retained</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B5E631" w14:textId="77777777" w:rsidR="009770A0" w:rsidRDefault="00000000">
            <w:pPr>
              <w:spacing w:after="0" w:line="250" w:lineRule="auto"/>
            </w:pPr>
            <w:r>
              <w:rPr>
                <w:sz w:val="21"/>
              </w:rPr>
              <w:t>Useful sensitivity, but a selected part of the city.</w:t>
            </w:r>
          </w:p>
        </w:tc>
      </w:tr>
      <w:tr w:rsidR="009770A0" w14:paraId="472B9BD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3830BF09" w14:textId="77777777" w:rsidR="009770A0" w:rsidRDefault="00000000">
            <w:pPr>
              <w:spacing w:after="0" w:line="250" w:lineRule="auto"/>
            </w:pPr>
            <w:r>
              <w:rPr>
                <w:sz w:val="21"/>
              </w:rPr>
              <w:t>Results needed next</w:t>
            </w:r>
          </w:p>
        </w:tc>
        <w:tc>
          <w:tcPr>
            <w:tcW w:w="3816"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411D9150" w14:textId="77777777" w:rsidR="009770A0" w:rsidRDefault="00000000">
            <w:pPr>
              <w:spacing w:after="0" w:line="250" w:lineRule="auto"/>
            </w:pPr>
            <w:r>
              <w:rPr>
                <w:sz w:val="21"/>
              </w:rPr>
              <w:t>Cooling coefficients, intervals and robustness differences</w:t>
            </w:r>
          </w:p>
        </w:tc>
        <w:tc>
          <w:tcPr>
            <w:tcW w:w="4320"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265C8A1F" w14:textId="77777777" w:rsidR="009770A0" w:rsidRDefault="00000000">
            <w:pPr>
              <w:spacing w:after="0" w:line="250" w:lineRule="auto"/>
            </w:pPr>
            <w:r>
              <w:rPr>
                <w:sz w:val="21"/>
              </w:rPr>
              <w:t>These were omitted from the review package; precision does not reveal them.</w:t>
            </w:r>
          </w:p>
        </w:tc>
      </w:tr>
    </w:tbl>
    <w:p w14:paraId="6F06FD2B" w14:textId="77777777" w:rsidR="009770A0" w:rsidRDefault="009770A0">
      <w:pPr>
        <w:spacing w:after="0"/>
      </w:pPr>
    </w:p>
    <w:p w14:paraId="7A2B47F0" w14:textId="77777777" w:rsidR="009770A0" w:rsidRDefault="00000000">
      <w:r>
        <w:rPr>
          <w:b/>
        </w:rPr>
        <w:t xml:space="preserve">Scope: </w:t>
      </w:r>
      <w:r>
        <w:t>This plan supersedes the conflicting HLS/SWIR tasks, block-specific slope hypotheses and expansion rules in the older v6.2 documents. Preserve those documents as design history.</w:t>
      </w:r>
    </w:p>
    <w:p w14:paraId="6973C2FD" w14:textId="77777777" w:rsidR="009770A0" w:rsidRDefault="00000000">
      <w:pPr>
        <w:pStyle w:val="Heading1"/>
      </w:pPr>
      <w:r>
        <w:t>Research question and contribution</w:t>
      </w:r>
    </w:p>
    <w:p w14:paraId="190C470B" w14:textId="77777777" w:rsidR="009770A0" w:rsidRDefault="00000000">
      <w:r>
        <w:rPr>
          <w:b/>
        </w:rPr>
        <w:t xml:space="preserve">Research question: </w:t>
      </w:r>
      <w:r>
        <w:t>How much does canopy-associated surface cooling differ between morning and afternoon observations, and how does the comparison depend on the sampled dates, locations and canopy ranges?</w:t>
      </w:r>
    </w:p>
    <w:p w14:paraId="070E3064" w14:textId="77777777" w:rsidR="009770A0" w:rsidRDefault="00000000">
      <w:r>
        <w:t>Estimate one canopy slope per city-pass from canopy and temperature differences within 1 km neighbourhood blocks, adjusting for the existing context variables. This is a spatial association for one date; comparisons across dates require a separate uncertainty assessment.</w:t>
      </w:r>
    </w:p>
    <w:p w14:paraId="46631311" w14:textId="77777777" w:rsidR="009770A0" w:rsidRDefault="00000000">
      <w:pPr>
        <w:pStyle w:val="Heading2"/>
      </w:pPr>
      <w:r>
        <w:lastRenderedPageBreak/>
        <w:t>Outcome and interpretation</w:t>
      </w:r>
    </w:p>
    <w:p w14:paraId="61DF497E" w14:textId="77777777" w:rsidR="009770A0" w:rsidRDefault="00000000">
      <w:r>
        <w:t>Report cooling in K per 10 percentage points of mapped canopy, such as an increase from 10% to 20%. With canopy coded from 0 to 1, positive cooling equals minus 0.10 times the fitted temperature coefficient. Retain the signed coefficient in the data table.</w:t>
      </w:r>
    </w:p>
    <w:p w14:paraId="4E134A34" w14:textId="77777777" w:rsidR="009770A0" w:rsidRDefault="00000000">
      <w:r>
        <w:t>Use the term canopy-associated mixed-pixel surface cooling. It does not measure individual tree temperature, a planting intervention, air-temperature reduction or thermal comfort. Phoenix and Atlanta are contrasting cases; two cities cannot isolate climate, irrigation or species as causal explanations.</w:t>
      </w:r>
    </w:p>
    <w:p w14:paraId="55128827" w14:textId="77777777" w:rsidR="009770A0" w:rsidRDefault="00000000">
      <w:pPr>
        <w:pStyle w:val="Heading2"/>
      </w:pPr>
      <w:r>
        <w:t>Literature context</w:t>
      </w:r>
    </w:p>
    <w:p w14:paraId="42FE2326" w14:textId="77777777" w:rsidR="009770A0" w:rsidRDefault="00000000">
      <w:pPr>
        <w:pStyle w:val="ListBullet"/>
      </w:pPr>
      <w:r>
        <w:t>Vo and Hu (2021) examined daily urban tree-temperature patterns with ECOSTRESS and discussed between-date weather differences. Fan et al. (2025) examined hourly urban-forest relationships with surface temperature.</w:t>
      </w:r>
    </w:p>
    <w:p w14:paraId="2A97409F" w14:textId="77777777" w:rsidR="009770A0" w:rsidRDefault="00000000">
      <w:pPr>
        <w:pStyle w:val="ListBullet"/>
      </w:pPr>
      <w:r>
        <w:t>Zhao et al. (2023) compared cooling efficiency at reference canopy and air-temperature conditions. A nonlinear canopy response is therefore a sensitivity check, not a standalone novelty claim.</w:t>
      </w:r>
    </w:p>
    <w:p w14:paraId="0796E91C" w14:textId="77777777" w:rsidR="009770A0" w:rsidRDefault="00000000">
      <w:pPr>
        <w:pStyle w:val="ListBullet"/>
      </w:pPr>
      <w:r>
        <w:t>Wang et al. (2024) demonstrated spatial scaling of cooling efficiency. Hu and Uejio (2024) addressed the interpretation of mixed satellite surface temperatures for urban heat applications.</w:t>
      </w:r>
    </w:p>
    <w:p w14:paraId="43798660" w14:textId="77777777" w:rsidR="009770A0" w:rsidRDefault="00000000">
      <w:r>
        <w:rPr>
          <w:b/>
        </w:rPr>
        <w:t xml:space="preserve">Potential contribution: </w:t>
      </w:r>
      <w:r>
        <w:t>Establish whether a meaningful morning–afternoon or cross-city difference persists under comparable sampling, or quantify a material, reproducible change associated with sampling or reference choices. Routine robustness checks alone are insufficient.</w:t>
      </w:r>
    </w:p>
    <w:p w14:paraId="2824FB5A" w14:textId="77777777" w:rsidR="009770A0" w:rsidRDefault="00000000">
      <w:r>
        <w:rPr>
          <w:b/>
        </w:rPr>
        <w:t xml:space="preserve">Analysis scope: </w:t>
      </w:r>
      <w:r>
        <w:t>Retain temperature as the primary outcome, emitted flux as a diagnostic and VPD as descriptive. Exclude the HLS/SWIR branch, machine learning and eight-class thermal unmixing from this study.</w:t>
      </w:r>
    </w:p>
    <w:p w14:paraId="2DCB6372" w14:textId="77777777" w:rsidR="009770A0" w:rsidRDefault="00000000">
      <w:pPr>
        <w:pStyle w:val="Heading1"/>
      </w:pPr>
      <w:r>
        <w:t>Task 1 Assemble existing results</w:t>
      </w:r>
    </w:p>
    <w:p w14:paraId="6EB2C548" w14:textId="77777777" w:rsidR="009770A0" w:rsidRDefault="00000000">
      <w:pPr>
        <w:pStyle w:val="Heading2"/>
      </w:pPr>
      <w:r>
        <w:t>Actions</w:t>
      </w:r>
    </w:p>
    <w:p w14:paraId="5B475630" w14:textId="77777777" w:rsidR="009770A0" w:rsidRDefault="00000000">
      <w:pPr>
        <w:pStyle w:val="ListBullet"/>
      </w:pPr>
      <w:r>
        <w:t>Record the current scope: 2023; Phoenix and Atlanta; one canopy slope per city-pass; block intercepts; six existing context controls; native ECOSTRESS cells; temperature as the primary outcome. Link the controlling protocol and run identifiers.</w:t>
      </w:r>
    </w:p>
    <w:p w14:paraId="5AC25304" w14:textId="77777777" w:rsidR="009770A0" w:rsidRDefault="00000000">
      <w:pPr>
        <w:pStyle w:val="ListBullet"/>
      </w:pPr>
      <w:r>
        <w:t>Export the 16 pass estimates and intervals with the existing registration and common-cell effect comparisons. Record exploratory result access, including the temperature estimates previously viewed.</w:t>
      </w:r>
    </w:p>
    <w:p w14:paraId="6BF7A9A6" w14:textId="77777777" w:rsidR="009770A0" w:rsidRDefault="00000000">
      <w:pPr>
        <w:pStyle w:val="ListBullet"/>
      </w:pPr>
      <w:r>
        <w:t>Preserve frozen outputs and record substantive changes in one decision log. Keep the result packet separate from public release until publication readiness is established.</w:t>
      </w:r>
    </w:p>
    <w:p w14:paraId="17344669" w14:textId="77777777" w:rsidR="009770A0" w:rsidRDefault="00000000">
      <w:pPr>
        <w:pStyle w:val="Heading2"/>
      </w:pPr>
      <w:r>
        <w:t>Required pass table fields</w:t>
      </w:r>
    </w:p>
    <w:tbl>
      <w:tblPr>
        <w:tblW w:w="0" w:type="auto"/>
        <w:jc w:val="center"/>
        <w:tblLayout w:type="fixed"/>
        <w:tblLook w:val="04A0" w:firstRow="1" w:lastRow="0" w:firstColumn="1" w:lastColumn="0" w:noHBand="0" w:noVBand="1"/>
      </w:tblPr>
      <w:tblGrid>
        <w:gridCol w:w="1944"/>
        <w:gridCol w:w="7992"/>
      </w:tblGrid>
      <w:tr w:rsidR="009770A0" w14:paraId="18805377"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4B7DDC6C" w14:textId="77777777" w:rsidR="009770A0" w:rsidRDefault="00000000">
            <w:pPr>
              <w:spacing w:after="0" w:line="250" w:lineRule="auto"/>
            </w:pPr>
            <w:r>
              <w:rPr>
                <w:b/>
                <w:sz w:val="21"/>
              </w:rPr>
              <w:t>Field group</w:t>
            </w:r>
          </w:p>
        </w:tc>
        <w:tc>
          <w:tcPr>
            <w:tcW w:w="7992"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367DF081" w14:textId="77777777" w:rsidR="009770A0" w:rsidRDefault="00000000">
            <w:pPr>
              <w:spacing w:after="0" w:line="250" w:lineRule="auto"/>
            </w:pPr>
            <w:r>
              <w:rPr>
                <w:b/>
                <w:sz w:val="21"/>
              </w:rPr>
              <w:t>Required information</w:t>
            </w:r>
          </w:p>
        </w:tc>
      </w:tr>
      <w:tr w:rsidR="009770A0" w14:paraId="2A50B6B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0EC477" w14:textId="77777777" w:rsidR="009770A0" w:rsidRDefault="00000000">
            <w:pPr>
              <w:spacing w:after="0" w:line="250" w:lineRule="auto"/>
            </w:pPr>
            <w:r>
              <w:rPr>
                <w:sz w:val="21"/>
              </w:rPr>
              <w:t>Identity and timing</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793C09A" w14:textId="77777777" w:rsidR="009770A0" w:rsidRDefault="00000000">
            <w:pPr>
              <w:spacing w:after="0" w:line="250" w:lineRule="auto"/>
            </w:pPr>
            <w:r>
              <w:rPr>
                <w:sz w:val="21"/>
              </w:rPr>
              <w:t>City, orbit, acquisition date, local solar time, month, collection and run identifier. Use one documented pass-time convention.</w:t>
            </w:r>
          </w:p>
        </w:tc>
      </w:tr>
      <w:tr w:rsidR="009770A0" w14:paraId="62A9F0A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757DDA4C" w14:textId="77777777" w:rsidR="009770A0" w:rsidRDefault="00000000">
            <w:pPr>
              <w:spacing w:after="0" w:line="250" w:lineRule="auto"/>
            </w:pPr>
            <w:r>
              <w:rPr>
                <w:sz w:val="21"/>
              </w:rPr>
              <w:t>Cooling result</w:t>
            </w:r>
          </w:p>
        </w:tc>
        <w:tc>
          <w:tcPr>
            <w:tcW w:w="7992"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782C9DAD" w14:textId="77777777" w:rsidR="009770A0" w:rsidRDefault="00000000">
            <w:pPr>
              <w:spacing w:after="0" w:line="250" w:lineRule="auto"/>
            </w:pPr>
            <w:r>
              <w:rPr>
                <w:sz w:val="21"/>
              </w:rPr>
              <w:t>Signed temperature slope, positive-cooling version, 95% interval, SE and spatial resampling-group size. Include emitted flux and temperature-equivalent contrast where available and supported.</w:t>
            </w:r>
          </w:p>
        </w:tc>
      </w:tr>
      <w:tr w:rsidR="009770A0" w14:paraId="75400D2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822BC8" w14:textId="77777777" w:rsidR="009770A0" w:rsidRDefault="00000000">
            <w:pPr>
              <w:spacing w:after="0" w:line="250" w:lineRule="auto"/>
            </w:pPr>
            <w:r>
              <w:rPr>
                <w:sz w:val="21"/>
              </w:rPr>
              <w:t>Sample and support</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D66DD4" w14:textId="77777777" w:rsidR="009770A0" w:rsidRDefault="00000000">
            <w:pPr>
              <w:spacing w:after="0" w:line="250" w:lineRule="auto"/>
            </w:pPr>
            <w:r>
              <w:rPr>
                <w:sz w:val="21"/>
              </w:rPr>
              <w:t>Valid cells, contributing blocks, canopy distribution, residualized canopy information, influential blocks and valid-footprint area.</w:t>
            </w:r>
          </w:p>
        </w:tc>
      </w:tr>
      <w:tr w:rsidR="009770A0" w14:paraId="41A7D74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354527F2" w14:textId="77777777" w:rsidR="009770A0" w:rsidRDefault="00000000">
            <w:pPr>
              <w:spacing w:after="0" w:line="250" w:lineRule="auto"/>
            </w:pPr>
            <w:r>
              <w:rPr>
                <w:sz w:val="21"/>
              </w:rPr>
              <w:lastRenderedPageBreak/>
              <w:t>Observation conditions</w:t>
            </w:r>
          </w:p>
        </w:tc>
        <w:tc>
          <w:tcPr>
            <w:tcW w:w="7992"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391A5125" w14:textId="77777777" w:rsidR="009770A0" w:rsidRDefault="00000000">
            <w:pPr>
              <w:spacing w:after="0" w:line="250" w:lineRule="auto"/>
            </w:pPr>
            <w:r>
              <w:rPr>
                <w:sz w:val="21"/>
              </w:rPr>
              <w:t>Sensor view angle, geometry coverage and missing azimuth status; air temperature, recent rainfall and other already available weather descriptors. Clearly mark missing weather records.</w:t>
            </w:r>
          </w:p>
        </w:tc>
      </w:tr>
      <w:tr w:rsidR="009770A0" w14:paraId="490D949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EFB7D29" w14:textId="77777777" w:rsidR="009770A0" w:rsidRDefault="00000000">
            <w:pPr>
              <w:spacing w:after="0" w:line="250" w:lineRule="auto"/>
            </w:pPr>
            <w:r>
              <w:rPr>
                <w:sz w:val="21"/>
              </w:rPr>
              <w:t>Sensitivity identity</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FD8614" w14:textId="77777777" w:rsidR="009770A0" w:rsidRDefault="00000000">
            <w:pPr>
              <w:spacing w:after="0" w:line="250" w:lineRule="auto"/>
            </w:pPr>
            <w:r>
              <w:rPr>
                <w:sz w:val="21"/>
              </w:rPr>
              <w:t>Original, common-cell, shifted, fixed-support shifted, or other named variant. Never mix variants without labels.</w:t>
            </w:r>
          </w:p>
        </w:tc>
      </w:tr>
    </w:tbl>
    <w:p w14:paraId="290A5147" w14:textId="77777777" w:rsidR="009770A0" w:rsidRDefault="009770A0">
      <w:pPr>
        <w:spacing w:after="0"/>
      </w:pPr>
    </w:p>
    <w:p w14:paraId="0BDCE444" w14:textId="77777777" w:rsidR="009770A0" w:rsidRDefault="00000000">
      <w:r>
        <w:rPr>
          <w:b/>
        </w:rPr>
        <w:t xml:space="preserve">Deliverables: </w:t>
      </w:r>
      <w:r>
        <w:t>One CSV, separate city plots of cooling against solar time with date labels and intervals, and a concise summary of findings and missing inputs. Display all passes without selecting by effect sign or size.</w:t>
      </w:r>
    </w:p>
    <w:p w14:paraId="342DC584" w14:textId="77777777" w:rsidR="009770A0" w:rsidRDefault="00000000">
      <w:r>
        <w:rPr>
          <w:b/>
        </w:rPr>
        <w:t xml:space="preserve">Validation: </w:t>
      </w:r>
      <w:r>
        <w:t>Confirm 11 Phoenix and 5 Atlanta primary rows, correct signs and units by hand calculation, and a run identifier for each plotted point. Label missing inputs and keep synthetic outputs separate from observations.</w:t>
      </w:r>
    </w:p>
    <w:p w14:paraId="5AFF375D" w14:textId="77777777" w:rsidR="009770A0" w:rsidRDefault="00000000">
      <w:pPr>
        <w:pStyle w:val="Heading1"/>
      </w:pPr>
      <w:r>
        <w:t>Task 2 Assess spatial robustness</w:t>
      </w:r>
    </w:p>
    <w:p w14:paraId="0BFBBF88" w14:textId="77777777" w:rsidR="009770A0" w:rsidRDefault="00000000">
      <w:pPr>
        <w:pStyle w:val="Heading2"/>
      </w:pPr>
      <w:r>
        <w:t>Existing comparisons</w:t>
      </w:r>
    </w:p>
    <w:p w14:paraId="53EF8897" w14:textId="77777777" w:rsidR="009770A0" w:rsidRDefault="00000000">
      <w:pPr>
        <w:pStyle w:val="ListBullet"/>
      </w:pPr>
      <w:r>
        <w:t>Compare original and common-cell cooling for every Phoenix pass. Map the retained footprint and compare its canopy and context distributions with excluded cells. Treat the shared footprint as a sensitivity, not automatically as the primary population.</w:t>
      </w:r>
    </w:p>
    <w:p w14:paraId="2757EDF0" w14:textId="77777777" w:rsidR="009770A0" w:rsidRDefault="00000000">
      <w:pPr>
        <w:pStyle w:val="ListBullet"/>
      </w:pPr>
      <w:r>
        <w:t>Compare the unshifted and four 70 m shifts on identical within-pass cells using paired differences and intervals. Keep available-support shifts separate because they also change sample composition.</w:t>
      </w:r>
    </w:p>
    <w:p w14:paraId="734FC4EF" w14:textId="77777777" w:rsidR="009770A0" w:rsidRDefault="00000000">
      <w:pPr>
        <w:pStyle w:val="ListBullet"/>
      </w:pPr>
      <w:r>
        <w:t>Retain the 1, 2, 4 and 8 km uncertainty sensitivity and examine existing residual diagnostics. The 8 km result does not establish independence at that distance.</w:t>
      </w:r>
    </w:p>
    <w:p w14:paraId="5643003B" w14:textId="77777777" w:rsidR="009770A0" w:rsidRDefault="00000000">
      <w:pPr>
        <w:pStyle w:val="ListBullet"/>
      </w:pPr>
      <w:r>
        <w:t>Check concentration of canopy information in a few neighbourhoods. Retain defensible controls; do not drop a control solely to make canopy estimable.</w:t>
      </w:r>
    </w:p>
    <w:p w14:paraId="636CB791" w14:textId="77777777" w:rsidR="009770A0" w:rsidRDefault="00000000">
      <w:pPr>
        <w:pStyle w:val="Heading2"/>
      </w:pPr>
      <w:r>
        <w:t>Outcome scale interpretation</w:t>
      </w:r>
    </w:p>
    <w:p w14:paraId="5CCB113D" w14:textId="77777777" w:rsidR="009770A0" w:rsidRDefault="00000000">
      <w:r>
        <w:t>The quantity labelled emitted energy is an estimated emitted longwave flux in W/m², derived from emissivity and the fourth power of temperature. It is not an independent validation dataset, net radiation or evapotranspiration.</w:t>
      </w:r>
    </w:p>
    <w:p w14:paraId="756129A6" w14:textId="77777777" w:rsidR="009770A0" w:rsidRDefault="00000000">
      <w:r>
        <w:t>Retain temperature as primary and report flux and its reference-temperature equivalent as paired diagnostics. Investigate discrepancies through background temperature, emissivity, reference conditions and sampling. Remove automatic promotion of the flux model when results disagree.</w:t>
      </w:r>
    </w:p>
    <w:p w14:paraId="2B87B300" w14:textId="77777777" w:rsidR="009770A0" w:rsidRDefault="00000000">
      <w:r>
        <w:t>The constant-contrast simulations show small transformation departures under their assumptions, not evidence that the observed time pattern is an artifact. Extend simulations only to explain an empirical discrepancy.</w:t>
      </w:r>
    </w:p>
    <w:p w14:paraId="0FEADDD8" w14:textId="77777777" w:rsidR="009770A0" w:rsidRDefault="00000000">
      <w:r>
        <w:rPr>
          <w:b/>
        </w:rPr>
        <w:t xml:space="preserve">Deliverables: </w:t>
      </w:r>
      <w:r>
        <w:t>A common-cell and registration comparison figure, a paired-scale figure, and a concise account of changes in interpretation. Reuse existing computations.</w:t>
      </w:r>
    </w:p>
    <w:p w14:paraId="404D6EF3" w14:textId="77777777" w:rsidR="009770A0" w:rsidRDefault="00000000">
      <w:r>
        <w:rPr>
          <w:b/>
        </w:rPr>
        <w:t xml:space="preserve">Decision criterion: </w:t>
      </w:r>
      <w:r>
        <w:t>Resolve substantial alignment or footprint effects, or narrow the claim before new modelling. Report absolute changes with uncertainty; avoid percentages near zero. Define a provisional time-effect range for Task 3 calibration, not a retrospective significance threshold.</w:t>
      </w:r>
    </w:p>
    <w:p w14:paraId="75A6450E" w14:textId="77777777" w:rsidR="009770A0" w:rsidRDefault="00000000">
      <w:pPr>
        <w:pStyle w:val="Heading1"/>
      </w:pPr>
      <w:r>
        <w:lastRenderedPageBreak/>
        <w:t>Task 3 Evaluate observation time differences</w:t>
      </w:r>
    </w:p>
    <w:p w14:paraId="06B40FB1" w14:textId="77777777" w:rsidR="009770A0" w:rsidRDefault="00000000">
      <w:r>
        <w:t>Retain all 11 Phoenix passes descriptively and use the June/August comparison as a sensitivity. July and September lack morning acquisitions before filtering, so relaxed filters cannot fill those gaps. A single-month restriction would discard information without eliminating between-date weather differences.</w:t>
      </w:r>
    </w:p>
    <w:p w14:paraId="44CAB877" w14:textId="77777777" w:rsidR="009770A0" w:rsidRDefault="00000000">
      <w:pPr>
        <w:pStyle w:val="Heading2"/>
      </w:pPr>
      <w:r>
        <w:t>Phoenix window comparison</w:t>
      </w:r>
    </w:p>
    <w:tbl>
      <w:tblPr>
        <w:tblW w:w="0" w:type="auto"/>
        <w:jc w:val="center"/>
        <w:tblLayout w:type="fixed"/>
        <w:tblLook w:val="04A0" w:firstRow="1" w:lastRow="0" w:firstColumn="1" w:lastColumn="0" w:noHBand="0" w:noVBand="1"/>
      </w:tblPr>
      <w:tblGrid>
        <w:gridCol w:w="1224"/>
        <w:gridCol w:w="4464"/>
        <w:gridCol w:w="4248"/>
      </w:tblGrid>
      <w:tr w:rsidR="009770A0" w14:paraId="03B2ABBB"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30138BCB" w14:textId="77777777" w:rsidR="009770A0" w:rsidRDefault="00000000">
            <w:pPr>
              <w:spacing w:after="0" w:line="250" w:lineRule="auto"/>
            </w:pPr>
            <w:r>
              <w:rPr>
                <w:b/>
                <w:sz w:val="21"/>
              </w:rPr>
              <w:t>Month</w:t>
            </w:r>
          </w:p>
        </w:tc>
        <w:tc>
          <w:tcPr>
            <w:tcW w:w="4464"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78E6A70F" w14:textId="77777777" w:rsidR="009770A0" w:rsidRDefault="00000000">
            <w:pPr>
              <w:spacing w:after="0" w:line="250" w:lineRule="auto"/>
            </w:pPr>
            <w:r>
              <w:rPr>
                <w:b/>
                <w:sz w:val="21"/>
              </w:rPr>
              <w:t>Morning dates and arm weights</w:t>
            </w:r>
          </w:p>
        </w:tc>
        <w:tc>
          <w:tcPr>
            <w:tcW w:w="4248"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43A3F31E" w14:textId="77777777" w:rsidR="009770A0" w:rsidRDefault="00000000">
            <w:pPr>
              <w:spacing w:after="0" w:line="250" w:lineRule="auto"/>
            </w:pPr>
            <w:r>
              <w:rPr>
                <w:b/>
                <w:sz w:val="21"/>
              </w:rPr>
              <w:t>Afternoon date and arm weight</w:t>
            </w:r>
          </w:p>
        </w:tc>
      </w:tr>
      <w:tr w:rsidR="009770A0" w14:paraId="36173DE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72D2A3" w14:textId="77777777" w:rsidR="009770A0" w:rsidRDefault="00000000">
            <w:pPr>
              <w:spacing w:after="0" w:line="250" w:lineRule="auto"/>
            </w:pPr>
            <w:r>
              <w:rPr>
                <w:sz w:val="21"/>
              </w:rPr>
              <w:t>June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807AFC6" w14:textId="77777777" w:rsidR="009770A0" w:rsidRDefault="00000000">
            <w:pPr>
              <w:spacing w:after="0" w:line="250" w:lineRule="auto"/>
            </w:pPr>
            <w:r>
              <w:rPr>
                <w:sz w:val="21"/>
              </w:rPr>
              <w:t>26 June   0.50</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9EF22D0" w14:textId="77777777" w:rsidR="009770A0" w:rsidRDefault="00000000">
            <w:pPr>
              <w:spacing w:after="0" w:line="250" w:lineRule="auto"/>
            </w:pPr>
            <w:r>
              <w:rPr>
                <w:sz w:val="21"/>
              </w:rPr>
              <w:t>11 June   0.50</w:t>
            </w:r>
          </w:p>
        </w:tc>
      </w:tr>
      <w:tr w:rsidR="009770A0" w14:paraId="665394D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34AEDDE6" w14:textId="77777777" w:rsidR="009770A0" w:rsidRDefault="00000000">
            <w:pPr>
              <w:spacing w:after="0" w:line="250" w:lineRule="auto"/>
            </w:pPr>
            <w:r>
              <w:rPr>
                <w:sz w:val="21"/>
              </w:rPr>
              <w:t>August</w:t>
            </w:r>
          </w:p>
        </w:tc>
        <w:tc>
          <w:tcPr>
            <w:tcW w:w="4464"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33839A9F" w14:textId="77777777" w:rsidR="009770A0" w:rsidRDefault="00000000">
            <w:pPr>
              <w:spacing w:after="0" w:line="250" w:lineRule="auto"/>
            </w:pPr>
            <w:r>
              <w:rPr>
                <w:sz w:val="21"/>
              </w:rPr>
              <w:t>6 August   0.25</w:t>
            </w:r>
            <w:r>
              <w:rPr>
                <w:sz w:val="21"/>
              </w:rPr>
              <w:br/>
              <w:t>23 August   0.25</w:t>
            </w:r>
          </w:p>
        </w:tc>
        <w:tc>
          <w:tcPr>
            <w:tcW w:w="4248"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5ACF85F9" w14:textId="77777777" w:rsidR="009770A0" w:rsidRDefault="00000000">
            <w:pPr>
              <w:spacing w:after="0" w:line="250" w:lineRule="auto"/>
            </w:pPr>
            <w:r>
              <w:rPr>
                <w:sz w:val="21"/>
              </w:rPr>
              <w:t>11 August   0.50</w:t>
            </w:r>
          </w:p>
        </w:tc>
      </w:tr>
    </w:tbl>
    <w:p w14:paraId="2F82182F" w14:textId="77777777" w:rsidR="009770A0" w:rsidRDefault="009770A0">
      <w:pPr>
        <w:spacing w:after="0"/>
      </w:pPr>
    </w:p>
    <w:p w14:paraId="2CE68443" w14:textId="77777777" w:rsidR="009770A0" w:rsidRDefault="00000000">
      <w:r>
        <w:t>Each arm’s weights sum to one. Calculate weighted afternoon cooling minus weighted morning cooling and report each month separately. A positive difference indicates stronger sampled afternoon cooling. The windows are 09:30–11:30 and 15:00–18:00 solar time, not an exact 10:30-versus-16:00 contrast.</w:t>
      </w:r>
    </w:p>
    <w:p w14:paraId="226CD93B" w14:textId="77777777" w:rsidR="009770A0" w:rsidRDefault="00000000">
      <w:pPr>
        <w:pStyle w:val="Heading2"/>
      </w:pPr>
      <w:r>
        <w:t>Required diagnostics</w:t>
      </w:r>
    </w:p>
    <w:p w14:paraId="44D66C92" w14:textId="77777777" w:rsidR="009770A0" w:rsidRDefault="00000000">
      <w:pPr>
        <w:pStyle w:val="ListBullet"/>
      </w:pPr>
      <w:r>
        <w:t>Report dates, times, view angles, footprints and weather. Complete missing acquisition-linked weather records before evaluating weather similarity.</w:t>
      </w:r>
    </w:p>
    <w:p w14:paraId="71100975" w14:textId="77777777" w:rsidR="009770A0" w:rsidRDefault="00000000">
      <w:pPr>
        <w:pStyle w:val="ListBullet"/>
      </w:pPr>
      <w:r>
        <w:t>Each month has one afternoon date; June also has one morning date. Equal month weights correct representation, not within-month weather differences.</w:t>
      </w:r>
    </w:p>
    <w:p w14:paraId="0F47C757" w14:textId="77777777" w:rsidR="009770A0" w:rsidRDefault="00000000">
      <w:pPr>
        <w:pStyle w:val="ListBullet"/>
      </w:pPr>
      <w:r>
        <w:t>Separate solar geometry, which is part of the total observation-time pattern, from sensor geometry, which may affect retrievals. Only three Phoenix passes meet 15°, none in the morning; this subset cannot validate the time contrast.</w:t>
      </w:r>
    </w:p>
    <w:p w14:paraId="4FB7156B" w14:textId="77777777" w:rsidR="009770A0" w:rsidRDefault="00000000">
      <w:pPr>
        <w:pStyle w:val="ListBullet"/>
      </w:pPr>
      <w:r>
        <w:t>Use leave-one-date-out plots to identify influential dates. Label comparisons unsupported when removing a date eliminates an arm; these are not successful validation folds.</w:t>
      </w:r>
    </w:p>
    <w:p w14:paraId="3DBD8848" w14:textId="77777777" w:rsidR="009770A0" w:rsidRDefault="00000000">
      <w:r>
        <w:rPr>
          <w:b/>
        </w:rPr>
        <w:t xml:space="preserve">Uncertainty: </w:t>
      </w:r>
      <w:r>
        <w:t>Retire intervals that resample noisy pass estimates and add first-stage noise again. Calibrate the replacement benchmark as specified in the technical notes. Separate fixed-date spatial uncertainty from broader between-day uncertainty; five dates cannot characterize general summer variability reliably.</w:t>
      </w:r>
    </w:p>
    <w:p w14:paraId="2B2206E7" w14:textId="77777777" w:rsidR="009770A0" w:rsidRDefault="00000000">
      <w:r>
        <w:rPr>
          <w:b/>
        </w:rPr>
        <w:t xml:space="preserve">Deliverables and validation: </w:t>
      </w:r>
      <w:r>
        <w:t>Provide the weighted comparison, monthly results and an influence plot. Label the result an exploratory between-date window comparison. Do not present unsupported geometry/season adjustment or a complete same-day cycle.</w:t>
      </w:r>
    </w:p>
    <w:p w14:paraId="536F901A" w14:textId="77777777" w:rsidR="009770A0" w:rsidRDefault="00000000">
      <w:pPr>
        <w:pStyle w:val="Heading1"/>
      </w:pPr>
      <w:r>
        <w:t>Task 4 Assess canopy response nonlinearity</w:t>
      </w:r>
    </w:p>
    <w:p w14:paraId="79F81A85" w14:textId="77777777" w:rsidR="009770A0" w:rsidRDefault="00000000">
      <w:pPr>
        <w:pStyle w:val="Heading2"/>
      </w:pPr>
      <w:r>
        <w:t>Baseline and sensitivity</w:t>
      </w:r>
    </w:p>
    <w:p w14:paraId="3E1E61CB" w14:textId="77777777" w:rsidR="009770A0" w:rsidRDefault="00000000">
      <w:r>
        <w:t>Retain the linear model and add one quadratic canopy sensitivity with identical cells, block intercepts and controls. Square raw canopy first, then centre that term within blocks; do not square centred canopy. Avoid significance-based selection among curves.</w:t>
      </w:r>
    </w:p>
    <w:p w14:paraId="2E9A7DCB" w14:textId="77777777" w:rsidR="009770A0" w:rsidRDefault="00000000">
      <w:r>
        <w:t>Choose common canopy endpoints 10 percentage points apart using predictor support. Compare supported context and time/month settings; otherwise report pass-specific responses without city rankings. Check whether the original 2.85% and 12.85% endpoints represent meaningful subsets of both cities.</w:t>
      </w:r>
    </w:p>
    <w:p w14:paraId="77D88E70" w14:textId="77777777" w:rsidR="009770A0" w:rsidRDefault="00000000">
      <w:r>
        <w:lastRenderedPageBreak/>
        <w:t>Block minima and maxima alone do not demonstrate support. Show observations near both endpoints and overlap in canopy, imperviousness, buildings and other controls. Report retained cells and blocks. Without usable overlap, present city-specific responses.</w:t>
      </w:r>
    </w:p>
    <w:p w14:paraId="49DD59A5" w14:textId="77777777" w:rsidR="009770A0" w:rsidRDefault="00000000">
      <w:pPr>
        <w:pStyle w:val="Heading2"/>
      </w:pPr>
      <w:r>
        <w:t>Prediction implementation</w:t>
      </w:r>
    </w:p>
    <w:p w14:paraId="4BC4EBA1" w14:textId="77777777" w:rsidR="009770A0" w:rsidRDefault="00000000">
      <w:r>
        <w:t>The generic endpoint predictor changes canopy but not a stored canopy-squared term; the bootstrap helper also assumes linearity. Recalculate every canopy term at both endpoints for fitted values and every paired bootstrap draw. This is a prospective issue, not evidence of an incorrect existing empirical nonlinear result.</w:t>
      </w:r>
    </w:p>
    <w:p w14:paraId="5C904D6A" w14:textId="77777777" w:rsidR="009770A0" w:rsidRDefault="00000000">
      <w:r>
        <w:rPr>
          <w:b/>
        </w:rPr>
        <w:t xml:space="preserve">Known-answer test: </w:t>
      </w:r>
      <w:r>
        <w:t>For T = 305 − 5f + 2f², the temperature difference from f = 0.10 to 0.20 is −0.44 K, not −0.50 K. Positive cooling is 0.44 K.</w:t>
      </w:r>
    </w:p>
    <w:p w14:paraId="26F6B1C1" w14:textId="77777777" w:rsidR="009770A0" w:rsidRDefault="00000000">
      <w:r>
        <w:rPr>
          <w:b/>
        </w:rPr>
        <w:t xml:space="preserve">Deliverables: </w:t>
      </w:r>
      <w:r>
        <w:t>A curve plot with canopy support, a table of linear and quadratic finite contrasts, and retained support by city. Report changes in city differences and the represented population.</w:t>
      </w:r>
    </w:p>
    <w:p w14:paraId="610DEF36" w14:textId="77777777" w:rsidR="009770A0" w:rsidRDefault="00000000">
      <w:r>
        <w:rPr>
          <w:b/>
        </w:rPr>
        <w:t xml:space="preserve">Decision criterion: </w:t>
      </w:r>
      <w:r>
        <w:t>If curvature materially changes the comparison, use supported finite contrasts and describe the limitation of a global slope. Otherwise retain the linear headline and report the sensitivity in the supplement. Neither outcome establishes a climate or irrigation mechanism.</w:t>
      </w:r>
    </w:p>
    <w:p w14:paraId="6E9ECA00" w14:textId="77777777" w:rsidR="009770A0" w:rsidRDefault="00000000">
      <w:pPr>
        <w:pStyle w:val="Heading1"/>
      </w:pPr>
      <w:r>
        <w:t>Task 5 Select targeted additional observations</w:t>
      </w:r>
    </w:p>
    <w:p w14:paraId="5CB8449B" w14:textId="77777777" w:rsidR="009770A0" w:rsidRDefault="00000000">
      <w:pPr>
        <w:pStyle w:val="Heading2"/>
      </w:pPr>
      <w:r>
        <w:t>Extension criteria</w:t>
      </w:r>
    </w:p>
    <w:p w14:paraId="242CC9A6" w14:textId="77777777" w:rsidR="009770A0" w:rsidRDefault="00000000">
      <w:r>
        <w:t>Specify the estimand, represented population, time windows, acceptable uncertainty and a practically meaningful difference. The 0.10 K SE benchmark is not a minimum important time effect or agreement margin. Disclose prior result access; the pilot is not globally blinded.</w:t>
      </w:r>
    </w:p>
    <w:p w14:paraId="6540A8E3" w14:textId="77777777" w:rsidR="009770A0" w:rsidRDefault="00000000">
      <w:pPr>
        <w:pStyle w:val="Heading2"/>
      </w:pPr>
      <w:r>
        <w:t>Observation selection</w:t>
      </w:r>
    </w:p>
    <w:p w14:paraId="7C9C0685" w14:textId="77777777" w:rsidR="009770A0" w:rsidRDefault="00000000">
      <w:pPr>
        <w:pStyle w:val="ListBullet"/>
      </w:pPr>
      <w:r>
        <w:t>Audit remaining 2023 opportunities in both cities. Prioritize repeated dates within the same month and time window, with comparable sensor angles, clear footprints and canopy support. Additional afternoon-only dates have limited value when morning coverage is deficient.</w:t>
      </w:r>
    </w:p>
    <w:p w14:paraId="08B31867" w14:textId="77777777" w:rsidR="009770A0" w:rsidRDefault="00000000">
      <w:pPr>
        <w:pStyle w:val="ListBullet"/>
      </w:pPr>
      <w:r>
        <w:t>If 2023 is inadequate, audit the completed 2022, 2024 and 2025 seasons. Select the smallest adequate set before viewing new coefficients. Compare windows within city-year-month and combine supported contrasts transparently; additional years do not fill missing 2023 cells.</w:t>
      </w:r>
    </w:p>
    <w:p w14:paraId="59BBD31A" w14:textId="77777777" w:rsidR="009770A0" w:rsidRDefault="00000000">
      <w:pPr>
        <w:pStyle w:val="ListBullet"/>
      </w:pPr>
      <w:r>
        <w:t>Assess precision using independent dates and simulations of the intended comparison. Require repeated dates in both arms; pixel counts or a nominal pass total are insufficient. Narrow the claim if a meaningful difference cannot be distinguished.</w:t>
      </w:r>
    </w:p>
    <w:p w14:paraId="159E6251" w14:textId="77777777" w:rsidR="009770A0" w:rsidRDefault="00000000">
      <w:pPr>
        <w:pStyle w:val="ListBullet"/>
      </w:pPr>
      <w:r>
        <w:t>Add one city only if it provides needed replication unavailable in the existing cities. Verify morning coverage and full-resolution quality before using the shortlist. Los Angeles has no completed paired model.</w:t>
      </w:r>
    </w:p>
    <w:p w14:paraId="782E770B" w14:textId="77777777" w:rsidR="009770A0" w:rsidRDefault="00000000">
      <w:pPr>
        <w:pStyle w:val="Heading2"/>
      </w:pPr>
      <w:r>
        <w:t>Data consistency</w:t>
      </w:r>
    </w:p>
    <w:p w14:paraId="2999D4FD" w14:textId="77777777" w:rsidR="009770A0" w:rsidRDefault="00000000">
      <w:r>
        <w:t>The pilot uses Collection 2. NASA released Version 3 Level 2 on 27 April 2026 with cloud-mask and geolocation improvements. Verify coverage for selected dates; historical completeness is not assured. Preserve the pilot. If Version 3 is adequate, compare matched scenes and use one consistent version for the extension, documenting the bridge.</w:t>
      </w:r>
    </w:p>
    <w:p w14:paraId="0D8CA848" w14:textId="77777777" w:rsidR="009770A0" w:rsidRDefault="00000000">
      <w:r>
        <w:t>Compare year-matched canopy and context with the current stable 2019–2025 canopy, 2021 imperviousness and 2024 land cover. A sample selected for canopy stability supports stable-area interpretation, not tree-cover change analysis.</w:t>
      </w:r>
    </w:p>
    <w:p w14:paraId="682098BD" w14:textId="77777777" w:rsidR="009770A0" w:rsidRDefault="00000000">
      <w:r>
        <w:rPr>
          <w:b/>
        </w:rPr>
        <w:lastRenderedPageBreak/>
        <w:t xml:space="preserve">Deliverables and validation: </w:t>
      </w:r>
      <w:r>
        <w:t>An acquisition plan listing dates, gaps addressed, expected support and exclusions. Reserve an untouched supported confirmation subset where feasible. Avoid automatic expansion to 8–12 cities or another research branch.</w:t>
      </w:r>
    </w:p>
    <w:p w14:paraId="4590688C" w14:textId="77777777" w:rsidR="009770A0" w:rsidRDefault="00000000">
      <w:pPr>
        <w:pStyle w:val="Heading1"/>
      </w:pPr>
      <w:r>
        <w:t>Task 6 Prepare the manuscript and figures</w:t>
      </w:r>
    </w:p>
    <w:p w14:paraId="50078D30" w14:textId="77777777" w:rsidR="009770A0" w:rsidRDefault="00000000">
      <w:pPr>
        <w:pStyle w:val="Heading2"/>
      </w:pPr>
      <w:r>
        <w:t>Required figures</w:t>
      </w:r>
    </w:p>
    <w:tbl>
      <w:tblPr>
        <w:tblW w:w="0" w:type="auto"/>
        <w:jc w:val="center"/>
        <w:tblLayout w:type="fixed"/>
        <w:tblLook w:val="04A0" w:firstRow="1" w:lastRow="0" w:firstColumn="1" w:lastColumn="0" w:noHBand="0" w:noVBand="1"/>
      </w:tblPr>
      <w:tblGrid>
        <w:gridCol w:w="1872"/>
        <w:gridCol w:w="8064"/>
      </w:tblGrid>
      <w:tr w:rsidR="009770A0" w14:paraId="39934920"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4CC04B78" w14:textId="77777777" w:rsidR="009770A0" w:rsidRDefault="00000000">
            <w:pPr>
              <w:spacing w:after="0" w:line="250" w:lineRule="auto"/>
            </w:pPr>
            <w:r>
              <w:rPr>
                <w:b/>
                <w:sz w:val="21"/>
              </w:rPr>
              <w:t>Figure</w:t>
            </w:r>
          </w:p>
        </w:tc>
        <w:tc>
          <w:tcPr>
            <w:tcW w:w="8064"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081C1D0E" w14:textId="77777777" w:rsidR="009770A0" w:rsidRDefault="00000000">
            <w:pPr>
              <w:spacing w:after="0" w:line="250" w:lineRule="auto"/>
            </w:pPr>
            <w:r>
              <w:rPr>
                <w:b/>
                <w:sz w:val="21"/>
              </w:rPr>
              <w:t>What it must show</w:t>
            </w:r>
          </w:p>
        </w:tc>
      </w:tr>
      <w:tr w:rsidR="009770A0" w14:paraId="331A65C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2691C73" w14:textId="77777777" w:rsidR="009770A0" w:rsidRDefault="00000000">
            <w:pPr>
              <w:spacing w:after="0" w:line="250" w:lineRule="auto"/>
            </w:pPr>
            <w:r>
              <w:rPr>
                <w:sz w:val="21"/>
              </w:rPr>
              <w:t>1 Sample and support</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5756115" w14:textId="77777777" w:rsidR="009770A0" w:rsidRDefault="00000000">
            <w:pPr>
              <w:spacing w:after="0" w:line="250" w:lineRule="auto"/>
            </w:pPr>
            <w:r>
              <w:rPr>
                <w:sz w:val="21"/>
              </w:rPr>
              <w:t>City maps, usable and shared footprints, and dates by month and solar time. Make missing windows and sensor-angle imbalance visible.</w:t>
            </w:r>
          </w:p>
        </w:tc>
      </w:tr>
      <w:tr w:rsidR="009770A0" w14:paraId="6516C9A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16BE7203" w14:textId="77777777" w:rsidR="009770A0" w:rsidRDefault="00000000">
            <w:pPr>
              <w:spacing w:after="0" w:line="250" w:lineRule="auto"/>
            </w:pPr>
            <w:r>
              <w:rPr>
                <w:sz w:val="21"/>
              </w:rPr>
              <w:t>2 Observed cooling</w:t>
            </w:r>
          </w:p>
        </w:tc>
        <w:tc>
          <w:tcPr>
            <w:tcW w:w="8064"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232888DA" w14:textId="77777777" w:rsidR="009770A0" w:rsidRDefault="00000000">
            <w:pPr>
              <w:spacing w:after="0" w:line="250" w:lineRule="auto"/>
            </w:pPr>
            <w:r>
              <w:rPr>
                <w:sz w:val="21"/>
              </w:rPr>
              <w:t>Pass-level canopy-associated cooling with intervals, followed by supported window contrasts. Distinguish pilot exploration from any new confirmation sample.</w:t>
            </w:r>
          </w:p>
        </w:tc>
      </w:tr>
      <w:tr w:rsidR="009770A0" w14:paraId="6E86051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64380FC" w14:textId="77777777" w:rsidR="009770A0" w:rsidRDefault="00000000">
            <w:pPr>
              <w:spacing w:after="0" w:line="250" w:lineRule="auto"/>
            </w:pPr>
            <w:r>
              <w:rPr>
                <w:sz w:val="21"/>
              </w:rPr>
              <w:t>3 Robustness of the conclusion</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6B8118C" w14:textId="77777777" w:rsidR="009770A0" w:rsidRDefault="00000000">
            <w:pPr>
              <w:spacing w:after="0" w:line="250" w:lineRule="auto"/>
            </w:pPr>
            <w:r>
              <w:rPr>
                <w:sz w:val="21"/>
              </w:rPr>
              <w:t>How the same comparison changes under common spatial support, fixed-support registration and common canopy support. Label any change in target population.</w:t>
            </w:r>
          </w:p>
        </w:tc>
      </w:tr>
      <w:tr w:rsidR="009770A0" w14:paraId="0F15151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267D5BE2" w14:textId="77777777" w:rsidR="009770A0" w:rsidRDefault="00000000">
            <w:pPr>
              <w:spacing w:after="0" w:line="250" w:lineRule="auto"/>
            </w:pPr>
            <w:r>
              <w:rPr>
                <w:sz w:val="21"/>
              </w:rPr>
              <w:t>4 Interpretation and replication</w:t>
            </w:r>
          </w:p>
        </w:tc>
        <w:tc>
          <w:tcPr>
            <w:tcW w:w="8064"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323AA693" w14:textId="77777777" w:rsidR="009770A0" w:rsidRDefault="00000000">
            <w:pPr>
              <w:spacing w:after="0" w:line="250" w:lineRule="auto"/>
            </w:pPr>
            <w:r>
              <w:rPr>
                <w:sz w:val="21"/>
              </w:rPr>
              <w:t>Paired temperature/flux diagnostic and the independent supported replication, if available. Do not use a synthetic plot as empirical confirmation.</w:t>
            </w:r>
          </w:p>
        </w:tc>
      </w:tr>
    </w:tbl>
    <w:p w14:paraId="36D6FC55" w14:textId="77777777" w:rsidR="009770A0" w:rsidRDefault="009770A0">
      <w:pPr>
        <w:spacing w:after="0"/>
      </w:pPr>
    </w:p>
    <w:p w14:paraId="709B0EB6" w14:textId="77777777" w:rsidR="009770A0" w:rsidRDefault="00000000">
      <w:pPr>
        <w:pStyle w:val="Heading2"/>
      </w:pPr>
      <w:r>
        <w:t>Publication decision criteria</w:t>
      </w:r>
    </w:p>
    <w:tbl>
      <w:tblPr>
        <w:tblW w:w="0" w:type="auto"/>
        <w:jc w:val="center"/>
        <w:tblLayout w:type="fixed"/>
        <w:tblLook w:val="04A0" w:firstRow="1" w:lastRow="0" w:firstColumn="1" w:lastColumn="0" w:noHBand="0" w:noVBand="1"/>
      </w:tblPr>
      <w:tblGrid>
        <w:gridCol w:w="2880"/>
        <w:gridCol w:w="7056"/>
      </w:tblGrid>
      <w:tr w:rsidR="009770A0" w14:paraId="0967E2EE"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0790410D" w14:textId="77777777" w:rsidR="009770A0" w:rsidRDefault="00000000">
            <w:pPr>
              <w:spacing w:after="0" w:line="250" w:lineRule="auto"/>
            </w:pPr>
            <w:r>
              <w:rPr>
                <w:b/>
                <w:sz w:val="21"/>
              </w:rPr>
              <w:t>Result</w:t>
            </w:r>
          </w:p>
        </w:tc>
        <w:tc>
          <w:tcPr>
            <w:tcW w:w="7056"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441C369C" w14:textId="77777777" w:rsidR="009770A0" w:rsidRDefault="00000000">
            <w:pPr>
              <w:spacing w:after="0" w:line="250" w:lineRule="auto"/>
            </w:pPr>
            <w:r>
              <w:rPr>
                <w:b/>
                <w:sz w:val="21"/>
              </w:rPr>
              <w:t>Decision</w:t>
            </w:r>
          </w:p>
        </w:tc>
      </w:tr>
      <w:tr w:rsidR="009770A0" w14:paraId="08C35A5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797948" w14:textId="77777777" w:rsidR="009770A0" w:rsidRDefault="00000000">
            <w:pPr>
              <w:spacing w:after="0" w:line="250" w:lineRule="auto"/>
            </w:pPr>
            <w:r>
              <w:rPr>
                <w:sz w:val="21"/>
              </w:rPr>
              <w:t>A meaningful pattern persists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C2EC188" w14:textId="77777777" w:rsidR="009770A0" w:rsidRDefault="00000000">
            <w:pPr>
              <w:spacing w:after="0" w:line="250" w:lineRule="auto"/>
            </w:pPr>
            <w:r>
              <w:rPr>
                <w:sz w:val="21"/>
              </w:rPr>
              <w:t>Write a focused observational paper and support the general claim with independent dates or another supported sample.</w:t>
            </w:r>
          </w:p>
        </w:tc>
      </w:tr>
      <w:tr w:rsidR="009770A0" w14:paraId="2B34F28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496DB6F0" w14:textId="77777777" w:rsidR="009770A0" w:rsidRDefault="00000000">
            <w:pPr>
              <w:spacing w:after="0" w:line="250" w:lineRule="auto"/>
            </w:pPr>
            <w:r>
              <w:rPr>
                <w:sz w:val="21"/>
              </w:rPr>
              <w:t>Sampling choices materially change the pattern</w:t>
            </w:r>
          </w:p>
        </w:tc>
        <w:tc>
          <w:tcPr>
            <w:tcW w:w="7056"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110FEE48" w14:textId="77777777" w:rsidR="009770A0" w:rsidRDefault="00000000">
            <w:pPr>
              <w:spacing w:after="0" w:line="250" w:lineRule="auto"/>
            </w:pPr>
            <w:r>
              <w:rPr>
                <w:sz w:val="21"/>
              </w:rPr>
              <w:t>A measurement-focused paper may be worthwhile if the change is reproducible and has a clear implication for how satellite cooling is interpreted.</w:t>
            </w:r>
          </w:p>
        </w:tc>
      </w:tr>
      <w:tr w:rsidR="009770A0" w14:paraId="4199DAB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484177" w14:textId="77777777" w:rsidR="009770A0" w:rsidRDefault="00000000">
            <w:pPr>
              <w:spacing w:after="0" w:line="250" w:lineRule="auto"/>
            </w:pPr>
            <w:r>
              <w:rPr>
                <w:sz w:val="21"/>
              </w:rPr>
              <w:t>A small difference is estimated precisely</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043CB5" w14:textId="77777777" w:rsidR="009770A0" w:rsidRDefault="00000000">
            <w:pPr>
              <w:spacing w:after="0" w:line="250" w:lineRule="auto"/>
            </w:pPr>
            <w:r>
              <w:rPr>
                <w:sz w:val="21"/>
              </w:rPr>
              <w:t>A useful stability or equivalence result is possible only with adequate support and a justified practical margin.</w:t>
            </w:r>
          </w:p>
        </w:tc>
      </w:tr>
      <w:tr w:rsidR="009770A0" w14:paraId="5EE530B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4668C56C" w14:textId="77777777" w:rsidR="009770A0" w:rsidRDefault="00000000">
            <w:pPr>
              <w:spacing w:after="0" w:line="250" w:lineRule="auto"/>
            </w:pPr>
            <w:r>
              <w:rPr>
                <w:sz w:val="21"/>
              </w:rPr>
              <w:t>The difference remains uncertain or unsupported</w:t>
            </w:r>
          </w:p>
        </w:tc>
        <w:tc>
          <w:tcPr>
            <w:tcW w:w="7056" w:type="dxa"/>
            <w:tcBorders>
              <w:top w:val="single" w:sz="4" w:space="0" w:color="D9D9D9"/>
              <w:left w:val="single" w:sz="4" w:space="0" w:color="D9D9D9"/>
              <w:bottom w:val="single" w:sz="4" w:space="0" w:color="D9D9D9"/>
              <w:right w:val="single" w:sz="4" w:space="0" w:color="D9D9D9"/>
            </w:tcBorders>
            <w:shd w:val="clear" w:color="auto" w:fill="F6F7F8"/>
            <w:tcMar>
              <w:top w:w="90" w:type="dxa"/>
              <w:left w:w="100" w:type="dxa"/>
              <w:bottom w:w="90" w:type="dxa"/>
              <w:right w:w="100" w:type="dxa"/>
            </w:tcMar>
            <w:vAlign w:val="center"/>
          </w:tcPr>
          <w:p w14:paraId="3C6A8E63" w14:textId="77777777" w:rsidR="009770A0" w:rsidRDefault="00000000">
            <w:pPr>
              <w:spacing w:after="0" w:line="250" w:lineRule="auto"/>
            </w:pPr>
            <w:r>
              <w:rPr>
                <w:sz w:val="21"/>
              </w:rPr>
              <w:t>Do not call it evidence of no time effect. Fill a specific feasible gap or stop this claim; a long checklist of completed tests is not a substitute for a finding.</w:t>
            </w:r>
          </w:p>
        </w:tc>
      </w:tr>
    </w:tbl>
    <w:p w14:paraId="198C05DA" w14:textId="77777777" w:rsidR="009770A0" w:rsidRDefault="009770A0">
      <w:pPr>
        <w:spacing w:after="0"/>
      </w:pPr>
    </w:p>
    <w:p w14:paraId="2BC93657" w14:textId="77777777" w:rsidR="009770A0" w:rsidRDefault="00000000">
      <w:r>
        <w:t>Urban Climate is the initial target for a focused urban surface-temperature study. Remote Sensing of Environment would require a transferable remote-sensing contribution and convincing validation. Journal fit depends on the final findings.</w:t>
      </w:r>
    </w:p>
    <w:p w14:paraId="61367FA5" w14:textId="77777777" w:rsidR="009770A0" w:rsidRDefault="00000000">
      <w:r>
        <w:rPr>
          <w:b/>
        </w:rPr>
        <w:t xml:space="preserve">Manuscript preparation: </w:t>
      </w:r>
      <w:r>
        <w:t>Draft the question, data, estimator, limitations and figure captions during analysis. The working title is Evaluating observation time differences in urban canopy associated surface cooling with ECOSTRESS. Finalize the abstract and title after interpreting the results.</w:t>
      </w:r>
    </w:p>
    <w:p w14:paraId="02CBC732" w14:textId="77777777" w:rsidR="009770A0" w:rsidRDefault="00000000">
      <w:pPr>
        <w:pStyle w:val="Heading1"/>
      </w:pPr>
      <w:r>
        <w:lastRenderedPageBreak/>
        <w:t>Technical implementation notes</w:t>
      </w:r>
    </w:p>
    <w:p w14:paraId="5EA56C01" w14:textId="77777777" w:rsidR="009770A0" w:rsidRDefault="00000000">
      <w:pPr>
        <w:pStyle w:val="Heading2"/>
      </w:pPr>
      <w:r>
        <w:t>Time uncertainty and repeated geography</w:t>
      </w:r>
    </w:p>
    <w:p w14:paraId="0B2D4DF7" w14:textId="77777777" w:rsidR="009770A0" w:rsidRDefault="00000000">
      <w:r>
        <w:t>The replacement day-resampling benchmark was tested on 30 independent, equally spaced observations, not the actual 11-pass and 5-pass designs. Calibrate once using actual times, unequal SEs, missing month windows, a zero effect, the provisional effect range and plausible between-day variation. Report coverage, interval width, loss of support and Monte Carlo error.</w:t>
      </w:r>
    </w:p>
    <w:p w14:paraId="6414C0EA" w14:textId="77777777" w:rsidR="009770A0" w:rsidRDefault="00000000">
      <w:r>
        <w:t>For fixed-date contrasts, retain covariance between temperature and flux outcomes. Resample recurring geographical blocks by physical identity or assess cross-pass covariance explicitly. Equal random seeds do not ensure aligned geographical sampling across different group lists. Repeated spatial samples do not create independent days.</w:t>
      </w:r>
    </w:p>
    <w:p w14:paraId="0B39B617" w14:textId="77777777" w:rsidR="009770A0" w:rsidRDefault="00000000">
      <w:r>
        <w:t>For broader temporal inference, separate pass-estimation error from between-day variation. Do not add first-stage uncertainty again to resampled noisy slopes without a justified hierarchical construction. Prefer a simple calibrated analysis; report descriptively when support is inadequate for a general time interval.</w:t>
      </w:r>
    </w:p>
    <w:p w14:paraId="400B451B" w14:textId="77777777" w:rsidR="009770A0" w:rsidRDefault="00000000">
      <w:pPr>
        <w:pStyle w:val="Heading2"/>
      </w:pPr>
      <w:r>
        <w:t>Agreement and practical importance</w:t>
      </w:r>
    </w:p>
    <w:p w14:paraId="0B66F1DB" w14:textId="77777777" w:rsidR="009770A0" w:rsidRDefault="00000000">
      <w:r>
        <w:t>Assess paired differences with uncertainty. Overlapping intervals do not prove agreement, and differing signs near zero do not prove disagreement. For equivalence, justify a margin in cooling units before examining the relevant new comparison and disclose exploratory history. Otherwise report differences without an agreement verdict.</w:t>
      </w:r>
    </w:p>
    <w:p w14:paraId="07591842" w14:textId="77777777" w:rsidR="009770A0" w:rsidRDefault="00000000">
      <w:pPr>
        <w:pStyle w:val="Heading2"/>
      </w:pPr>
      <w:r>
        <w:t>Reference conversion and code locations</w:t>
      </w:r>
    </w:p>
    <w:p w14:paraId="00044A36" w14:textId="77777777" w:rsidR="009770A0" w:rsidRDefault="00000000">
      <w:r>
        <w:t>Use the documented fixed reference temperature, emissivity and exact fourth-root conversion. Hold references fixed during uncertainty propagation and report reference sensitivity. The result is a reference-dependent temperature-equivalent flux measure, not corrected LST.</w:t>
      </w:r>
    </w:p>
    <w:p w14:paraId="3F9FAFDE" w14:textId="77777777" w:rsidR="009770A0" w:rsidRDefault="00000000">
      <w:r>
        <w:t>Implementation locations in the review package: src/urban_cooling_v2/pooled_city_pass.py contains prediction_difference and scale_ruling; src/urban_cooling_v2/pilot_scale.py contains the original linear contrast and time routines; src/v6_2_advance/time_resampling.py contains the exploratory replacement; src/v6_2_advance/check_canopy_range.py contains the correct synthetic quadratic calculation.</w:t>
      </w:r>
    </w:p>
    <w:p w14:paraId="6C2A9E9B" w14:textId="77777777" w:rsidR="009770A0" w:rsidRDefault="00000000">
      <w:pPr>
        <w:pStyle w:val="Heading2"/>
      </w:pPr>
      <w:r>
        <w:t>Reproducibility</w:t>
      </w:r>
    </w:p>
    <w:p w14:paraId="3A138889" w14:textId="77777777" w:rsidR="009770A0" w:rsidRDefault="00000000">
      <w:r>
        <w:t>Use the documented Python 3.11 environment and dependencies. Independently reproduce one headline empirical estimate from the frozen pass table before submission. The existing pooled, scale, time and sampling tests verify code logic, not data support, retrieval accuracy or causality.</w:t>
      </w:r>
    </w:p>
    <w:p w14:paraId="1A69BCB9" w14:textId="77777777" w:rsidR="009770A0" w:rsidRDefault="00000000">
      <w:pPr>
        <w:pStyle w:val="Heading1"/>
      </w:pPr>
      <w:r>
        <w:t>Sources and implementation files</w:t>
      </w:r>
    </w:p>
    <w:p w14:paraId="6579CD96" w14:textId="77777777" w:rsidR="009770A0" w:rsidRDefault="00000000">
      <w:r>
        <w:rPr>
          <w:b/>
        </w:rPr>
        <w:t xml:space="preserve">Source snapshot: </w:t>
      </w:r>
      <w:r>
        <w:t>23 September 2026, commit d3d1ea53315ae6e6dad8912c02f97da6c2ad358d. The current README and dated completion records supersede older status descriptions.</w:t>
      </w:r>
    </w:p>
    <w:p w14:paraId="0CD0DF2B" w14:textId="77777777" w:rsidR="009770A0" w:rsidRDefault="00000000">
      <w:r>
        <w:t xml:space="preserve">Review package: </w:t>
      </w:r>
      <w:hyperlink r:id="rId8">
        <w:r>
          <w:rPr>
            <w:color w:val="175A8C"/>
            <w:u w:val="single"/>
          </w:rPr>
          <w:t>CanopyCooling v6.2 2023 pilot</w:t>
        </w:r>
      </w:hyperlink>
    </w:p>
    <w:p w14:paraId="440E28C5" w14:textId="77777777" w:rsidR="009770A0" w:rsidRDefault="00000000">
      <w:r>
        <w:rPr>
          <w:b/>
        </w:rPr>
        <w:t xml:space="preserve">Starting files: </w:t>
      </w:r>
      <w:r>
        <w:t xml:space="preserve">README.md; 01_Progress_and_decisions.md; tables/pilot2023_precision_and_passes.csv; tables/phoenix2023_sampling_roles.csv; checks/phoenix_robustness_20260923/README.md; </w:t>
      </w:r>
      <w:r>
        <w:lastRenderedPageBreak/>
        <w:t>notes/Mixing_and_standardization.md. These document sample identities, completed checks and result limitations.</w:t>
      </w:r>
    </w:p>
    <w:p w14:paraId="6E3EF796" w14:textId="77777777" w:rsidR="009770A0" w:rsidRDefault="00000000">
      <w:pPr>
        <w:pStyle w:val="Heading2"/>
      </w:pPr>
      <w:r>
        <w:t>References</w:t>
      </w:r>
    </w:p>
    <w:p w14:paraId="00AD3686" w14:textId="77777777" w:rsidR="009770A0" w:rsidRDefault="00000000">
      <w:pPr>
        <w:spacing w:after="60"/>
      </w:pPr>
      <w:r>
        <w:t xml:space="preserve">Vo, T. T., &amp; Hu, L. (2021). Diurnal evolution of urban tree temperature at a city scale. Scientific Reports, 11, 10491. </w:t>
      </w:r>
      <w:hyperlink r:id="rId9">
        <w:r>
          <w:rPr>
            <w:color w:val="175A8C"/>
            <w:u w:val="single"/>
          </w:rPr>
          <w:t>https://doi.org/10.1038/s41598-021-89972-0</w:t>
        </w:r>
      </w:hyperlink>
    </w:p>
    <w:p w14:paraId="10115DEB" w14:textId="77777777" w:rsidR="009770A0" w:rsidRDefault="00000000">
      <w:pPr>
        <w:spacing w:after="160"/>
      </w:pPr>
      <w:r>
        <w:t>Daily patterns and acquisition-date differences; component temperatures differ from mixed-pixel associations.</w:t>
      </w:r>
    </w:p>
    <w:p w14:paraId="054CAC6F" w14:textId="77777777" w:rsidR="009770A0" w:rsidRDefault="00000000">
      <w:pPr>
        <w:spacing w:after="60"/>
      </w:pPr>
      <w:r>
        <w:t xml:space="preserve">Zhao, J., Zhao, X., Wu, D., Meili, N., &amp; Fatichi, S. (2023). Satellite-based evidence highlights a considerable increase of urban tree cooling benefits from 2000 to 2015. Global Change Biology, 29, 3085–3097. </w:t>
      </w:r>
      <w:hyperlink r:id="rId10">
        <w:r>
          <w:rPr>
            <w:color w:val="175A8C"/>
            <w:u w:val="single"/>
          </w:rPr>
          <w:t>https://doi.org/10.1111/gcb.16667</w:t>
        </w:r>
      </w:hyperlink>
    </w:p>
    <w:p w14:paraId="697FD5CE" w14:textId="77777777" w:rsidR="009770A0" w:rsidRDefault="00000000">
      <w:pPr>
        <w:spacing w:after="160"/>
      </w:pPr>
      <w:r>
        <w:rPr>
          <w:i/>
          <w:sz w:val="21"/>
        </w:rPr>
        <w:t>Canopy-dependent efficiency and reference conditions.</w:t>
      </w:r>
    </w:p>
    <w:p w14:paraId="683A4039" w14:textId="77777777" w:rsidR="009770A0" w:rsidRDefault="00000000">
      <w:pPr>
        <w:spacing w:after="60"/>
      </w:pPr>
      <w:r>
        <w:t xml:space="preserve">Roberts, D. R., et al. (2017). Cross-validation strategies for data with temporal, spatial, hierarchical, or phylogenetic structure. Ecography, 40, 913–929. </w:t>
      </w:r>
      <w:hyperlink r:id="rId11">
        <w:r>
          <w:rPr>
            <w:color w:val="175A8C"/>
            <w:u w:val="single"/>
          </w:rPr>
          <w:t>https://doi.org/10.1111/ecog.02881</w:t>
        </w:r>
      </w:hyperlink>
    </w:p>
    <w:p w14:paraId="1DBEC105" w14:textId="77777777" w:rsidR="009770A0" w:rsidRDefault="00000000">
      <w:pPr>
        <w:spacing w:after="160"/>
      </w:pPr>
      <w:r>
        <w:rPr>
          <w:i/>
          <w:sz w:val="21"/>
        </w:rPr>
        <w:t>Hold out groups that match the prediction task; grouped validation does not fix confounding.</w:t>
      </w:r>
    </w:p>
    <w:p w14:paraId="39FFAF63" w14:textId="77777777" w:rsidR="009770A0" w:rsidRDefault="00000000">
      <w:pPr>
        <w:spacing w:after="60"/>
      </w:pPr>
      <w:r>
        <w:t xml:space="preserve">Fan, P., Wang, H., &amp; Imbroglini, C. (2025). Hourly impact of urban forests on land surface temperature based on machine learning. Results in Engineering, 28, 107584. </w:t>
      </w:r>
      <w:hyperlink r:id="rId12">
        <w:r>
          <w:rPr>
            <w:color w:val="175A8C"/>
            <w:u w:val="single"/>
          </w:rPr>
          <w:t>https://doi.org/10.1016/j.rineng.2025.107584</w:t>
        </w:r>
      </w:hyperlink>
    </w:p>
    <w:p w14:paraId="20F84940" w14:textId="77777777" w:rsidR="009770A0" w:rsidRDefault="00000000">
      <w:pPr>
        <w:spacing w:after="160"/>
      </w:pPr>
      <w:r>
        <w:t>Hourly urban-forest surface-temperature analysis.</w:t>
      </w:r>
    </w:p>
    <w:p w14:paraId="701EDF62" w14:textId="77777777" w:rsidR="009770A0" w:rsidRDefault="00000000">
      <w:pPr>
        <w:spacing w:after="60"/>
      </w:pPr>
      <w:r>
        <w:t xml:space="preserve">Wang, J., Zhou, W., Pickett, S. T. A., &amp; Qian, Y. (2024). A scaling law for predicting urban trees canopy cooling efficiency. Proceedings of the National Academy of Sciences, 121, e2401210121. </w:t>
      </w:r>
      <w:hyperlink r:id="rId13">
        <w:r>
          <w:rPr>
            <w:color w:val="175A8C"/>
            <w:u w:val="single"/>
          </w:rPr>
          <w:t>https://doi.org/10.1073/pnas.2401210121</w:t>
        </w:r>
      </w:hyperlink>
    </w:p>
    <w:p w14:paraId="6B6CA936" w14:textId="77777777" w:rsidR="009770A0" w:rsidRDefault="00000000">
      <w:pPr>
        <w:spacing w:after="160"/>
      </w:pPr>
      <w:r>
        <w:rPr>
          <w:i/>
          <w:sz w:val="21"/>
        </w:rPr>
        <w:t>Spatial scale already changes the estimated cooling measure.</w:t>
      </w:r>
    </w:p>
    <w:p w14:paraId="42A46B23" w14:textId="77777777" w:rsidR="009770A0" w:rsidRDefault="00000000">
      <w:pPr>
        <w:spacing w:after="60"/>
      </w:pPr>
      <w:r>
        <w:t xml:space="preserve">Hu, L., &amp; Uejio, C. (2024). Ground Urban Heat Island: Strengthening the Connection Between Spaceborne Thermal Observations and Urban Heat Risk Management. GeoHealth, 8, e2024GH001114. </w:t>
      </w:r>
      <w:hyperlink r:id="rId14">
        <w:r>
          <w:rPr>
            <w:color w:val="175A8C"/>
            <w:u w:val="single"/>
          </w:rPr>
          <w:t>https://doi.org/10.1029/2024GH001114</w:t>
        </w:r>
      </w:hyperlink>
    </w:p>
    <w:p w14:paraId="38AEF48F" w14:textId="77777777" w:rsidR="009770A0" w:rsidRDefault="00000000">
      <w:pPr>
        <w:spacing w:after="160"/>
      </w:pPr>
      <w:r>
        <w:rPr>
          <w:i/>
          <w:sz w:val="21"/>
        </w:rPr>
        <w:t>Why mixed satellite LST is distinct from ground-level thermal exposure.</w:t>
      </w:r>
    </w:p>
    <w:p w14:paraId="2AE8D96F" w14:textId="77777777" w:rsidR="009770A0" w:rsidRDefault="00000000">
      <w:r>
        <w:t xml:space="preserve">NASA LP DAAC (2026). ECOSTRESS Version 3 Level 2 Data Products Released, 27 April. </w:t>
      </w:r>
      <w:hyperlink r:id="rId15">
        <w:r>
          <w:rPr>
            <w:color w:val="175A8C"/>
            <w:u w:val="single"/>
          </w:rPr>
          <w:t>Release notice</w:t>
        </w:r>
      </w:hyperlink>
    </w:p>
    <w:sectPr w:rsidR="009770A0" w:rsidSect="00034616">
      <w:footerReference w:type="default" r:id="rId16"/>
      <w:pgSz w:w="12240" w:h="15840"/>
      <w:pgMar w:top="1008" w:right="1152" w:bottom="1008"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169139" w14:textId="77777777" w:rsidR="00BD3021" w:rsidRDefault="00BD3021">
      <w:pPr>
        <w:spacing w:after="0" w:line="240" w:lineRule="auto"/>
      </w:pPr>
      <w:r>
        <w:separator/>
      </w:r>
    </w:p>
  </w:endnote>
  <w:endnote w:type="continuationSeparator" w:id="0">
    <w:p w14:paraId="031155BA" w14:textId="77777777" w:rsidR="00BD3021" w:rsidRDefault="00BD3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C8902E" w14:textId="77777777" w:rsidR="009770A0" w:rsidRDefault="00000000">
    <w:pPr>
      <w:pStyle w:val="Footer"/>
      <w:jc w:val="right"/>
    </w:pPr>
    <w:r>
      <w:fldChar w:fldCharType="begin"/>
    </w:r>
    <w:r>
      <w:instrText>PAGE</w:instrText>
    </w:r>
    <w:r>
      <w:fldChar w:fldCharType="separate"/>
    </w:r>
    <w:r w:rsidR="002523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3C6AEB" w14:textId="77777777" w:rsidR="00BD3021" w:rsidRDefault="00BD3021">
      <w:pPr>
        <w:spacing w:after="0" w:line="240" w:lineRule="auto"/>
      </w:pPr>
      <w:r>
        <w:separator/>
      </w:r>
    </w:p>
  </w:footnote>
  <w:footnote w:type="continuationSeparator" w:id="0">
    <w:p w14:paraId="61C049F7" w14:textId="77777777" w:rsidR="00BD3021" w:rsidRDefault="00BD30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8240102">
    <w:abstractNumId w:val="8"/>
  </w:num>
  <w:num w:numId="2" w16cid:durableId="2051025730">
    <w:abstractNumId w:val="6"/>
  </w:num>
  <w:num w:numId="3" w16cid:durableId="1211843091">
    <w:abstractNumId w:val="5"/>
  </w:num>
  <w:num w:numId="4" w16cid:durableId="1707483062">
    <w:abstractNumId w:val="4"/>
  </w:num>
  <w:num w:numId="5" w16cid:durableId="562759059">
    <w:abstractNumId w:val="7"/>
  </w:num>
  <w:num w:numId="6" w16cid:durableId="1720977106">
    <w:abstractNumId w:val="3"/>
  </w:num>
  <w:num w:numId="7" w16cid:durableId="538005793">
    <w:abstractNumId w:val="2"/>
  </w:num>
  <w:num w:numId="8" w16cid:durableId="1063718950">
    <w:abstractNumId w:val="1"/>
  </w:num>
  <w:num w:numId="9" w16cid:durableId="8048145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0F0"/>
    <w:rsid w:val="0006063C"/>
    <w:rsid w:val="0015074B"/>
    <w:rsid w:val="002523E3"/>
    <w:rsid w:val="0029639D"/>
    <w:rsid w:val="00326F90"/>
    <w:rsid w:val="006552F5"/>
    <w:rsid w:val="009770A0"/>
    <w:rsid w:val="00AA1D8D"/>
    <w:rsid w:val="00B47730"/>
    <w:rsid w:val="00BD30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29FD4"/>
  <w14:defaultImageDpi w14:val="300"/>
  <w15:docId w15:val="{25F55DEF-E46A-2241-A8D5-8675341B7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mielee0/CanopyCooling/tree/d3d1ea53315ae6e6dad8912c02f97da6c2ad358d/review/v6.2-2023-pilot" TargetMode="External"/><Relationship Id="rId13" Type="http://schemas.openxmlformats.org/officeDocument/2006/relationships/hyperlink" Target="https://doi.org/10.1073/pnas.240121012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rineng.2025.10758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ecog.02881" TargetMode="External"/><Relationship Id="rId5" Type="http://schemas.openxmlformats.org/officeDocument/2006/relationships/webSettings" Target="webSettings.xml"/><Relationship Id="rId15" Type="http://schemas.openxmlformats.org/officeDocument/2006/relationships/hyperlink" Target="https://www.earthdata.nasa.gov/data/alerts-outages/ecostress-version-3-level-2-data-products-released" TargetMode="External"/><Relationship Id="rId10" Type="http://schemas.openxmlformats.org/officeDocument/2006/relationships/hyperlink" Target="https://doi.org/10.1111/gcb.16667" TargetMode="External"/><Relationship Id="rId4" Type="http://schemas.openxmlformats.org/officeDocument/2006/relationships/settings" Target="settings.xml"/><Relationship Id="rId9" Type="http://schemas.openxmlformats.org/officeDocument/2006/relationships/hyperlink" Target="https://doi.org/10.1038/s41598-021-89972-0" TargetMode="External"/><Relationship Id="rId14" Type="http://schemas.openxmlformats.org/officeDocument/2006/relationships/hyperlink" Target="https://doi.org/10.1029/2024GH001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3216</Words>
  <Characters>18336</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Tree Cooling Research Next Steps</dc:title>
  <dc:subject>ECOSTRESS pilot assessment and publication plan</dc:subject>
  <dc:creator/>
  <cp:keywords/>
  <dc:description>generated by python-docx</dc:description>
  <cp:lastModifiedBy>Mohammadreza Alizadeh</cp:lastModifiedBy>
  <cp:revision>3</cp:revision>
  <dcterms:created xsi:type="dcterms:W3CDTF">2013-12-23T23:15:00Z</dcterms:created>
  <dcterms:modified xsi:type="dcterms:W3CDTF">2026-09-24T19:31:00Z</dcterms:modified>
  <cp:category/>
</cp:coreProperties>
</file>