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Urban tree canopy cooling deliverables schedule</w:t>
      </w:r>
    </w:p>
    <w:p>
      <w:pPr>
        <w:pStyle w:val="Subtitle"/>
      </w:pPr>
      <w:r>
        <w:t>Version 6.2  |  Pilot first and expansion after review  |  19 September 2026</w:t>
      </w:r>
    </w:p>
    <w:p>
      <w:r>
        <w:t>Implementation is authorized for the limited Phoenix–Atlanta pilot. Coefficients stay sealed for precision review; Reza’s numerical agreement tolerance remains pending. Current run evidence is in the Pilot Meeting Package dated 19 September 2026.</w:t>
      </w:r>
    </w:p>
    <w:p>
      <w:pPr>
        <w:pStyle w:val="Heading1"/>
      </w:pPr>
      <w:r>
        <w:t>Current assignment</w:t>
      </w:r>
    </w:p>
    <w:p>
      <w:pPr>
        <w:widowControl/>
      </w:pPr>
      <w:r>
        <w:t>Complete the amended v6.2 pilot and bring it to review before any full-city scaling. This schedule is ordered by dependencies; no new calendar deadlines are invented. The meeting and later email contain scheduling suggestions, but no meeting is scheduled by these documents.</w:t>
      </w:r>
    </w:p>
    <w:p>
      <w:pPr>
        <w:pStyle w:val="Heading1"/>
      </w:pPr>
      <w:r>
        <w:t>First audit the inputs</w:t>
      </w:r>
    </w:p>
    <w:p>
      <w:pPr>
        <w:widowControl/>
      </w:pPr>
      <w:r>
        <w:t>Check full ECOSTRESS mission metadata, pagination and distinct city-pass identities, then apply the study window. Audit tile overlap, duplicate ground cells and area-weighted raster aggregation. Verify the data path, product collections, wideband emissivity and QA.</w:t>
      </w:r>
    </w:p>
    <w:p>
      <w:pPr>
        <w:widowControl/>
      </w:pPr>
      <w:r>
        <w:t>Done means a reproducible count/overlap ledger and known-case aggregation checks, without reading sealed estimates.</w:t>
      </w:r>
    </w:p>
    <w:p>
      <w:pPr>
        <w:pStyle w:val="Heading1"/>
      </w:pPr>
      <w:r>
        <w:t>Then freeze the two-city sample and decisions</w:t>
      </w:r>
    </w:p>
    <w:p>
      <w:pPr>
        <w:widowControl/>
      </w:pPr>
      <w:r>
        <w:t>The pilot retains Phoenix orbits 27963, 28024, 28706, 28828 and 28909 and selects Atlanta orbits 27835, 27896, 27916, 28145 and 28598. A seeded 300-block nonthermal Science TCC screen found within-block variance of 0.00159 in Phoenix, 0.08301 in Atlanta and 0.07189 in Charlotte. Atlanta also has verified afternoon acquisitions. Its five passes were frozen before thermal download from the existing geometry-verified 2023 June–September inventory.</w:t>
      </w:r>
    </w:p>
    <w:p>
      <w:pPr>
        <w:widowControl/>
      </w:pPr>
      <w:r>
        <w:t>Report each pass’s total within-block canopy information, contributing blocks and concentration of information. No arbitrary replacement canopy-span, Sxx, block-count or four-of-five exclusion gate is imposed. Numerical rank and nonzero information determine whether a model can be estimated. The support distributions inform review and any later prospectively justified rule. Coefficient sealing remains in force for precision review. Reza’s numerical scale-agreement tolerance remains pending. Compute and store paired contrasts without displaying them; do not issue an agreement ruling until the tolerance is prospectively recorded and coefficient release is authorized. Treat an exactly zero contrast as direction unresolved. The full-study power design and Collection 3 historical coverage decision remain for the post-pilot review.</w:t>
      </w:r>
    </w:p>
    <w:p>
      <w:pPr>
        <w:pStyle w:val="Heading1"/>
      </w:pPr>
      <w:r>
        <w:t>Build and run the limited pilot</w:t>
      </w:r>
    </w:p>
    <w:p>
      <w:pPr>
        <w:widowControl/>
      </w:pPr>
      <w:r>
        <w:t>Implement block intercepts plus a pooled city-pass slope in both LST and M. Verify units, matched samples, block bootstrap, prediction centering, exact fourth-root conversion, registration and sealed output behavior.</w:t>
      </w:r>
    </w:p>
    <w:p>
      <w:pPr>
        <w:widowControl/>
      </w:pPr>
      <w:r>
        <w:t>Run five Phoenix and five selected higher-canopy passes. Report open precision/support diagnostics and keep point estimates sealed. Run labeled synthetic mixing tests in the separate synthetic root. A brief high-resolution canopy check is optional validation and must not delay the main work.</w:t>
      </w:r>
    </w:p>
    <w:p>
      <w:pPr>
        <w:pStyle w:val="Heading1"/>
        <w:pageBreakBefore/>
      </w:pPr>
      <w:r>
        <w:t>Review precision and then measurement scale</w:t>
      </w:r>
    </w:p>
    <w:p>
      <w:pPr>
        <w:widowControl/>
      </w:pPr>
      <w:r>
        <w:t>Use the frozen interpretation of the approximately 0.10 K per 10 percentage points SE benchmark. Either-city success supports review; both-city failure requires reporting the numbers and stopping dependent work.</w:t>
      </w:r>
    </w:p>
    <w:p>
      <w:pPr>
        <w:widowControl/>
      </w:pPr>
      <w:r>
        <w:t>After freeze, a precision ruling and recorded release, inspect the pass plot and evaluate the prespecified 10:30-to-late-afternoon contrasts for the total-time and secondary geometry/season-standardized patterns. Compare LST and temperature-equivalent M results against the prospectively frozen tolerance. Missing time support or ambiguous precision remains unresolved, not a pass.</w:t>
      </w:r>
    </w:p>
    <w:p>
      <w:pPr>
        <w:pStyle w:val="Heading1"/>
      </w:pPr>
      <w:r>
        <w:t>Expansion only after review</w:t>
      </w:r>
    </w:p>
    <w:p>
      <w:pPr>
        <w:widowControl/>
      </w:pPr>
      <w:r>
        <w:t>Following a recorded pilot-review decision, process the available Phoenix and Los Angeles passes and then consider eight to twelve additional cities. Choose them on canopy heterogeneity and clear-sky afternoon coverage before thermal download. Determine pass requirements through simulation/power.</w:t>
      </w:r>
    </w:p>
    <w:p>
      <w:pPr>
        <w:widowControl/>
      </w:pPr>
      <w:r>
        <w:t>Keep VPD descriptive, HLS/SWIR research deferred and eight-class unmixing out of scope. Maintain the short literature note, decision log, manifests, output isolation and sealing. New conformance and per-deliverable packages are set aside.</w:t>
      </w:r>
    </w:p>
    <w:sectPr w:rsidR="00745F45" w:rsidRPr="00103B4F">
      <w:footerReference w:type="even" r:id="rId7"/>
      <w:footerReference w:type="default" r:id="rId8"/>
      <w:headerReference w:type="default" r:id="rId11"/>
      <w:headerReference w:type="first" r:id="rId12"/>
      <w:headerReference w:type="even" r:id="rId13"/>
      <w:footerReference w:type="first" r:id="rId14"/>
      <w:pgSz w:w="12240" w:h="15840"/>
      <w:pgMar w:top="1037" w:right="1123" w:bottom="936" w:left="11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341F00" w14:textId="77777777" w:rsidR="00B467BC" w:rsidRDefault="00B467BC">
      <w:pPr>
        <w:spacing w:after="0"/>
      </w:pPr>
      <w:r>
        <w:separator/>
      </w:r>
    </w:p>
  </w:endnote>
  <w:endnote w:type="continuationSeparator" w:id="0">
    <w:p w14:paraId="7F51DFFA" w14:textId="77777777" w:rsidR="00B467BC" w:rsidRDefault="00B467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6"/>
      </w:rPr>
      <w:t xml:space="preserve">v6.2  •  Updated 19 September 2026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29C946" w14:textId="77777777" w:rsidR="00B467BC" w:rsidRDefault="00B467BC">
      <w:r>
        <w:separator/>
      </w:r>
    </w:p>
  </w:footnote>
  <w:footnote w:type="continuationSeparator" w:id="0">
    <w:p w14:paraId="633B94ED" w14:textId="77777777" w:rsidR="00B467BC" w:rsidRDefault="00B467B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11CC4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5F0BE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06008255">
    <w:abstractNumId w:val="0"/>
  </w:num>
  <w:num w:numId="2" w16cid:durableId="903220523">
    <w:abstractNumId w:val="1"/>
  </w:num>
  <w:num w:numId="3" w16cid:durableId="753626760">
    <w:abstractNumId w:val="1"/>
  </w:num>
  <w:num w:numId="4" w16cid:durableId="735010617">
    <w:abstractNumId w:val="1"/>
  </w:num>
  <w:num w:numId="5" w16cid:durableId="1705011117">
    <w:abstractNumId w:val="1"/>
  </w:num>
  <w:num w:numId="6" w16cid:durableId="6796262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5F45"/>
    <w:rsid w:val="00103B4F"/>
    <w:rsid w:val="0022620B"/>
    <w:rsid w:val="00745F45"/>
    <w:rsid w:val="00B467B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1AE283A"/>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45" w:lineRule="auto"/>
    </w:pPr>
    <w:rPr>
      <w:rFonts w:ascii="Calibri" w:hAnsi="Calibri"/>
      <w:color w:val="000000"/>
      <w:sz w:val="21"/>
    </w:rPr>
  </w:style>
  <w:style w:type="paragraph" w:styleId="Heading1">
    <w:name w:val="heading 1"/>
    <w:basedOn w:val="Normal"/>
    <w:next w:val="BodyText"/>
    <w:uiPriority w:val="9"/>
    <w:qFormat/>
    <w:pPr>
      <w:keepNext/>
      <w:keepLines/>
      <w:spacing w:before="200" w:after="80" w:line="245" w:lineRule="auto"/>
      <w:outlineLvl w:val="0"/>
    </w:pPr>
    <w:rPr>
      <w:rFonts w:asciiTheme="majorHAnsi" w:eastAsiaTheme="majorEastAsia" w:hAnsiTheme="majorHAnsi" w:cstheme="majorBidi" w:ascii="Calibri" w:hAnsi="Calibri"/>
      <w:b/>
      <w:bCs/>
      <w:color w:val="000000"/>
      <w:sz w:val="26"/>
      <w:szCs w:val="32"/>
    </w:rPr>
  </w:style>
  <w:style w:type="paragraph" w:styleId="Heading2">
    <w:name w:val="heading 2"/>
    <w:basedOn w:val="Normal"/>
    <w:next w:val="BodyText"/>
    <w:uiPriority w:val="9"/>
    <w:unhideWhenUsed/>
    <w:qFormat/>
    <w:pPr>
      <w:keepNext/>
      <w:keepLines/>
      <w:spacing w:before="200" w:after="80" w:line="245" w:lineRule="auto"/>
      <w:outlineLvl w:val="1"/>
    </w:pPr>
    <w:rPr>
      <w:rFonts w:asciiTheme="majorHAnsi" w:eastAsiaTheme="majorEastAsia" w:hAnsiTheme="majorHAnsi" w:cstheme="majorBidi" w:ascii="Calibri" w:hAnsi="Calibri"/>
      <w:b/>
      <w:bCs/>
      <w:color w:val="000000"/>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80" w:line="245" w:lineRule="auto"/>
      <w:jc w:val="center"/>
    </w:pPr>
    <w:rPr>
      <w:rFonts w:asciiTheme="majorHAnsi" w:eastAsiaTheme="majorEastAsia" w:hAnsiTheme="majorHAnsi" w:cstheme="majorBidi" w:ascii="Calibri" w:hAnsi="Calibri"/>
      <w:b/>
      <w:bCs/>
      <w:color w:val="000000"/>
      <w:sz w:val="42"/>
      <w:szCs w:val="36"/>
    </w:rPr>
  </w:style>
  <w:style w:type="paragraph" w:styleId="Subtitle">
    <w:name w:val="Subtitle"/>
    <w:basedOn w:val="Title"/>
    <w:next w:val="BodyText"/>
    <w:qFormat/>
    <w:pPr>
      <w:spacing w:before="240" w:after="80" w:line="245" w:lineRule="auto"/>
    </w:pPr>
    <w:rPr>
      <w:rFonts w:ascii="Calibri" w:hAnsi="Calibri"/>
      <w:color w:val="000000"/>
      <w:sz w:val="21"/>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03B4F"/>
    <w:pPr>
      <w:tabs>
        <w:tab w:val="center" w:pos="4680"/>
        <w:tab w:val="right" w:pos="9360"/>
      </w:tabs>
      <w:spacing w:after="0"/>
    </w:pPr>
  </w:style>
  <w:style w:type="character" w:customStyle="1" w:styleId="FooterChar">
    <w:name w:val="Footer Char"/>
    <w:basedOn w:val="DefaultParagraphFont"/>
    <w:link w:val="Footer"/>
    <w:rsid w:val="00103B4F"/>
  </w:style>
  <w:style w:type="character" w:styleId="PageNumber">
    <w:name w:val="page number"/>
    <w:basedOn w:val="DefaultParagraphFont"/>
    <w:rsid w:val="00103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2734</Words>
  <Characters>15584</Characters>
  <Application>Microsoft Office Word</Application>
  <DocSecurity>0</DocSecurity>
  <Lines>129</Lines>
  <Paragraphs>36</Paragraphs>
  <ScaleCrop>false</ScaleCrop>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2</cp:revision>
  <dcterms:created xsi:type="dcterms:W3CDTF">2026-08-30T01:18:00Z</dcterms:created>
  <dcterms:modified xsi:type="dcterms:W3CDTF">2026-08-30T01:20:00Z</dcterms:modified>
</cp:coreProperties>
</file>