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>Urban tree canopy cooling deliverables schedule</w:t>
      </w:r>
    </w:p>
    <w:p>
      <w:pPr>
        <w:pStyle w:val="Subtitle"/>
      </w:pPr>
      <w:r>
        <w:t>Version 6.2  |  Pilot first and expansion after review  |  19 September 2026</w:t>
      </w:r>
    </w:p>
    <w:p>
      <w:pPr>
        <w:pStyle w:val="Heading1"/>
      </w:pPr>
      <w:r>
        <w:t>Current assignment</w:t>
      </w:r>
    </w:p>
    <w:p>
      <w:pPr>
        <w:widowControl/>
      </w:pPr>
      <w:r>
        <w:t>Complete the amended v6.2 pilot and bring it to review before any full-city scaling. This schedule is ordered by dependencies; no new calendar deadlines are invented. The meeting and later email contain scheduling suggestions, but no meeting is scheduled by these documents.</w:t>
      </w:r>
    </w:p>
    <w:p>
      <w:pPr>
        <w:pStyle w:val="Heading1"/>
      </w:pPr>
      <w:r>
        <w:t>First audit the inputs</w:t>
      </w:r>
    </w:p>
    <w:p>
      <w:pPr>
        <w:widowControl/>
      </w:pPr>
      <w:r>
        <w:t>Check full ECOSTRESS mission metadata, pagination and distinct city-pass identities, then apply the study window. Audit tile overlap, duplicate ground cells and area-weighted raster aggregation. Verify the data path, product collections, wideband emissivity and QA.</w:t>
      </w:r>
    </w:p>
    <w:p>
      <w:pPr>
        <w:widowControl/>
      </w:pPr>
      <w:r>
        <w:t>Done means a reproducible count/overlap ledger and known-case aggregation checks, without reading sealed estimates.</w:t>
      </w:r>
    </w:p>
    <w:p>
      <w:pPr>
        <w:pStyle w:val="Heading1"/>
      </w:pPr>
      <w:r>
        <w:t>Then freeze the two-city sample and decisions</w:t>
      </w:r>
    </w:p>
    <w:p>
      <w:pPr>
        <w:widowControl/>
      </w:pPr>
      <w:r>
        <w:t>Keep the five frozen Phoenix passes. Select Atlanta or Charlotte and five equivalent passes on nonthermal canopy heterogeneity and afternoon coverage. Confirm wider within-block canopy support before thermal download.</w:t>
      </w:r>
    </w:p>
    <w:p>
      <w:pPr>
        <w:widowControl/>
      </w:pPr>
      <w:r>
        <w:t>Freeze pass-level Sxx/Bvar minima from observed nonthermal distributions; define the city precision rule, canopy pair, references, late-time target, scale tolerance, zero convention, simulation scenarios and time/power specification before fitting or coefficient access. A short decision-log entry with source hashes is sufficient.</w:t>
      </w:r>
    </w:p>
    <w:p>
      <w:pPr>
        <w:pStyle w:val="Heading1"/>
      </w:pPr>
      <w:r>
        <w:t>Build and run the limited pilot</w:t>
      </w:r>
    </w:p>
    <w:p>
      <w:pPr>
        <w:widowControl/>
      </w:pPr>
      <w:r>
        <w:t>Implement block intercepts plus a pooled city-pass slope in both LST and M. Verify units, matched samples, block bootstrap, prediction centering, exact fourth-root conversion, registration and sealed output behavior.</w:t>
      </w:r>
    </w:p>
    <w:p>
      <w:pPr>
        <w:widowControl/>
      </w:pPr>
      <w:r>
        <w:t>Run five Phoenix and five selected higher-canopy passes. Report open precision/support diagnostics and keep point estimates sealed. Run labeled synthetic mixing tests in the separate synthetic root. A brief high-resolution canopy check is optional validation and must not delay the main work.</w:t>
      </w:r>
    </w:p>
    <w:p>
      <w:pPr>
        <w:pStyle w:val="Heading1"/>
      </w:pPr>
      <w:r>
        <w:t>Review precision and then measurement scale</w:t>
      </w:r>
    </w:p>
    <w:p>
      <w:pPr>
        <w:widowControl/>
      </w:pPr>
      <w:r>
        <w:t>Use the frozen interpretation of the approximately 0.10 K per 10 percentage points SE benchmark. Either-city success supports review; both-city failure requires reporting the numbers and stopping dependent work.</w:t>
      </w:r>
    </w:p>
    <w:p>
      <w:pPr>
        <w:widowControl/>
      </w:pPr>
      <w:r>
        <w:t>After freeze, a precision ruling and recorded release, inspect the pass plot and evaluate the prespecified 10:30-to-late-afternoon contrasts for the total-time and secondary geometry/season-standardized patterns. Compare LST and temperature-equivalent M results against the prospectively frozen tolerance. Missing time support or ambiguous precision remains unresolved, not a pass.</w:t>
      </w:r>
    </w:p>
    <w:p>
      <w:pPr>
        <w:pStyle w:val="Heading1"/>
      </w:pPr>
      <w:r>
        <w:t>Expansion only after review</w:t>
      </w:r>
    </w:p>
    <w:p>
      <w:pPr>
        <w:widowControl/>
      </w:pPr>
      <w:r>
        <w:t>Following a recorded pilot-review decision, process the available Phoenix and Los Angeles passes and then consider eight to twelve additional cities. Choose them on canopy heterogeneity and clear-sky afternoon coverage before thermal download. Determine pass requirements through simulation/power.</w:t>
      </w:r>
    </w:p>
    <w:p>
      <w:pPr>
        <w:widowControl/>
      </w:pPr>
      <w:r>
        <w:t>Keep VPD descriptive, HLS/SWIR research deferred and eight-class unmixing out of scope. Maintain the short literature note, decision log, manifests, output isolation and sealing. New conformance and per-deliverable packages are set aside.</w:t>
      </w:r>
    </w:p>
    <w:sectPr w:rsidR="00745F45" w:rsidRPr="00103B4F">
      <w:footerReference w:type="even" r:id="rId7"/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pgSz w:w="12240" w:h="15840"/>
      <w:pgMar w:top="1037" w:right="1123" w:bottom="936" w:left="112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341F00" w14:textId="77777777" w:rsidR="00B467BC" w:rsidRDefault="00B467BC">
      <w:pPr>
        <w:spacing w:after="0"/>
      </w:pPr>
      <w:r>
        <w:separator/>
      </w:r>
    </w:p>
  </w:endnote>
  <w:endnote w:type="continuationSeparator" w:id="0">
    <w:p w14:paraId="7F51DFFA" w14:textId="77777777" w:rsidR="00B467BC" w:rsidRDefault="00B467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sz w:val="16"/>
      </w:rPr>
      <w:t xml:space="preserve">v6.2  •  Updated 19 September 2026  •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29C946" w14:textId="77777777" w:rsidR="00B467BC" w:rsidRDefault="00B467BC">
      <w:r>
        <w:separator/>
      </w:r>
    </w:p>
  </w:footnote>
  <w:footnote w:type="continuationSeparator" w:id="0">
    <w:p w14:paraId="633B94ED" w14:textId="77777777" w:rsidR="00B467BC" w:rsidRDefault="00B467B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11CC4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5F0BE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06008255">
    <w:abstractNumId w:val="0"/>
  </w:num>
  <w:num w:numId="2" w16cid:durableId="903220523">
    <w:abstractNumId w:val="1"/>
  </w:num>
  <w:num w:numId="3" w16cid:durableId="753626760">
    <w:abstractNumId w:val="1"/>
  </w:num>
  <w:num w:numId="4" w16cid:durableId="735010617">
    <w:abstractNumId w:val="1"/>
  </w:num>
  <w:num w:numId="5" w16cid:durableId="1705011117">
    <w:abstractNumId w:val="1"/>
  </w:num>
  <w:num w:numId="6" w16cid:durableId="6796262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F45"/>
    <w:rsid w:val="00103B4F"/>
    <w:rsid w:val="0022620B"/>
    <w:rsid w:val="00745F45"/>
    <w:rsid w:val="00B4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E283A"/>
  <w15:docId w15:val="{FC4311AA-1312-C24C-A835-71646DEE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00" w:after="8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80" w:line="245" w:lineRule="auto"/>
      <w:jc w:val="center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36"/>
    </w:rPr>
  </w:style>
  <w:style w:type="paragraph" w:styleId="Subtitle">
    <w:name w:val="Subtitle"/>
    <w:basedOn w:val="Title"/>
    <w:next w:val="BodyText"/>
    <w:qFormat/>
    <w:pPr>
      <w:spacing w:before="240" w:after="80" w:line="245" w:lineRule="auto"/>
    </w:pPr>
    <w:rPr>
      <w:rFonts w:ascii="Calibri" w:hAnsi="Calibri"/>
      <w:color w:val="000000"/>
      <w:sz w:val="21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103B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03B4F"/>
  </w:style>
  <w:style w:type="character" w:styleId="PageNumber">
    <w:name w:val="page number"/>
    <w:basedOn w:val="DefaultParagraphFont"/>
    <w:rsid w:val="00103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2734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Mohammadreza Alizadeh</cp:lastModifiedBy>
  <cp:revision>2</cp:revision>
  <dcterms:created xsi:type="dcterms:W3CDTF">2026-08-30T01:18:00Z</dcterms:created>
  <dcterms:modified xsi:type="dcterms:W3CDTF">2026-08-30T01:20:00Z</dcterms:modified>
</cp:coreProperties>
</file>