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AE1071" w14:textId="77777777" w:rsidR="00C61BF5" w:rsidRPr="008F6480" w:rsidRDefault="00000000">
      <w:pPr>
        <w:pStyle w:val="Heading1"/>
        <w:rPr>
          <w:rFonts w:ascii="Calibri" w:hAnsi="Calibri" w:cs="Calibri"/>
          <w:color w:val="000000" w:themeColor="text1"/>
          <w:sz w:val="22"/>
          <w:szCs w:val="22"/>
        </w:rPr>
      </w:pPr>
      <w:bookmarkStart w:id="0" w:name="working-guide-v6.2"/>
      <w:r w:rsidRPr="008F6480">
        <w:rPr>
          <w:rFonts w:ascii="Calibri" w:hAnsi="Calibri" w:cs="Calibri"/>
          <w:color w:val="000000" w:themeColor="text1"/>
          <w:sz w:val="22"/>
          <w:szCs w:val="22"/>
        </w:rPr>
        <w:t>Working Guide v6.2</w:t>
      </w:r>
    </w:p>
    <w:p w14:paraId="0FF698B8" w14:textId="201EB930" w:rsidR="00C61BF5" w:rsidRPr="008F6480" w:rsidRDefault="004E3D87">
      <w:pPr>
        <w:pStyle w:val="FirstParagraph"/>
        <w:rPr>
          <w:rFonts w:ascii="Calibri" w:hAnsi="Calibri" w:cs="Calibri"/>
          <w:color w:val="000000" w:themeColor="text1"/>
          <w:sz w:val="22"/>
          <w:szCs w:val="22"/>
        </w:rPr>
      </w:pPr>
      <w:bookmarkStart w:id="1" w:name="Xe963983d11ea9eb7d8375ee65fc5304acade06f"/>
      <w:r>
        <w:rPr>
          <w:rFonts w:ascii="Calibri" w:hAnsi="Calibri" w:cs="Calibri"/>
          <w:color w:val="000000" w:themeColor="text1"/>
          <w:sz w:val="22"/>
          <w:szCs w:val="22"/>
        </w:rPr>
        <w:t>Please p</w:t>
      </w:r>
      <w:r w:rsidR="00000000" w:rsidRPr="008F6480">
        <w:rPr>
          <w:rFonts w:ascii="Calibri" w:hAnsi="Calibri" w:cs="Calibri"/>
          <w:color w:val="000000" w:themeColor="text1"/>
          <w:sz w:val="22"/>
          <w:szCs w:val="22"/>
        </w:rPr>
        <w:t>roceed through the free checks, Gate A and Gate B. The design is scientifically coherent and remains a high-risk measurement and identification problem. Open the full ECOSTRESS temperature archive only after both gates pass. If either gate fails, close or explicitly reframe the outcome paper. Do not return to the retired compound-threshold, paired-pixel or early-versus-late designs.</w:t>
      </w:r>
    </w:p>
    <w:p w14:paraId="024D891D" w14:textId="77777777" w:rsidR="00C61BF5" w:rsidRPr="008F6480" w:rsidRDefault="002527B9">
      <w:pPr>
        <w:rPr>
          <w:rFonts w:ascii="Calibri" w:hAnsi="Calibri" w:cs="Calibri"/>
          <w:color w:val="000000" w:themeColor="text1"/>
          <w:sz w:val="22"/>
          <w:szCs w:val="22"/>
        </w:rPr>
      </w:pPr>
      <w:r>
        <w:rPr>
          <w:noProof/>
        </w:rPr>
      </w:r>
      <w:r>
        <w:pict w14:anchorId="106FF4EB">
          <v:rect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391CED6" w14:textId="77777777" w:rsidR="00C61BF5" w:rsidRPr="008F6480" w:rsidRDefault="00000000">
      <w:pPr>
        <w:pStyle w:val="Heading2"/>
        <w:rPr>
          <w:rFonts w:ascii="Calibri" w:hAnsi="Calibri" w:cs="Calibri"/>
          <w:color w:val="000000" w:themeColor="text1"/>
          <w:sz w:val="22"/>
          <w:szCs w:val="22"/>
        </w:rPr>
      </w:pPr>
      <w:bookmarkStart w:id="2" w:name="the-research-in-plain-language"/>
      <w:bookmarkEnd w:id="1"/>
      <w:r w:rsidRPr="008F6480">
        <w:rPr>
          <w:rFonts w:ascii="Calibri" w:hAnsi="Calibri" w:cs="Calibri"/>
          <w:color w:val="000000" w:themeColor="text1"/>
          <w:sz w:val="22"/>
          <w:szCs w:val="22"/>
        </w:rPr>
        <w:t>1. The research, in plain language</w:t>
      </w:r>
    </w:p>
    <w:p w14:paraId="3BB8D584" w14:textId="77777777" w:rsidR="00C61BF5" w:rsidRPr="008F6480" w:rsidRDefault="00000000">
      <w:pPr>
        <w:pStyle w:val="FirstParagraph"/>
        <w:rPr>
          <w:rFonts w:ascii="Calibri" w:hAnsi="Calibri" w:cs="Calibri"/>
          <w:color w:val="000000" w:themeColor="text1"/>
          <w:sz w:val="22"/>
          <w:szCs w:val="22"/>
        </w:rPr>
      </w:pPr>
      <w:r w:rsidRPr="008F6480">
        <w:rPr>
          <w:rFonts w:ascii="Calibri" w:hAnsi="Calibri" w:cs="Calibri"/>
          <w:color w:val="000000" w:themeColor="text1"/>
          <w:sz w:val="22"/>
          <w:szCs w:val="22"/>
        </w:rPr>
        <w:t>For every eligible 1 km urban block on every usable ECOSTRESS pass, estimate the within-block association between stable mapped tree-canopy fraction and land surface temperature. Then test whether that canopy-associated surface-cooling gradient varies with an antecedent shortwave-infrared-sensitive optical condition anomaly measured over tree-dominated pixels, after separately accounting for greenness-linked variation and the matching optical anomaly over the non-tree background.</w:t>
      </w:r>
    </w:p>
    <w:p w14:paraId="3CE3F767" w14:textId="77777777" w:rsidR="00C61BF5" w:rsidRPr="008F6480" w:rsidRDefault="00000000">
      <w:pPr>
        <w:pStyle w:val="BodyText"/>
        <w:rPr>
          <w:rFonts w:ascii="Calibri" w:hAnsi="Calibri" w:cs="Calibri"/>
          <w:color w:val="000000" w:themeColor="text1"/>
          <w:sz w:val="22"/>
          <w:szCs w:val="22"/>
        </w:rPr>
      </w:pPr>
      <w:r w:rsidRPr="008F6480">
        <w:rPr>
          <w:rFonts w:ascii="Calibri" w:hAnsi="Calibri" w:cs="Calibri"/>
          <w:color w:val="000000" w:themeColor="text1"/>
          <w:sz w:val="22"/>
          <w:szCs w:val="22"/>
        </w:rPr>
        <w:t>The contribution is not that a SWIR index correlates with cooling. That relationship is already published. The contribution is a repeated, within-city, antecedent, fixed-effects test with mapped canopy amount held stable, greenness residualised out of the exposure, and an explicit tree-side against background-side decomposition entered jointly in one model.</w:t>
      </w:r>
    </w:p>
    <w:tbl>
      <w:tblPr>
        <w:tblStyle w:val="Table"/>
        <w:tblW w:w="5000" w:type="pct"/>
        <w:tblLook w:val="0020" w:firstRow="1" w:lastRow="0" w:firstColumn="0" w:lastColumn="0" w:noHBand="0" w:noVBand="0"/>
      </w:tblPr>
      <w:tblGrid>
        <w:gridCol w:w="1078"/>
        <w:gridCol w:w="4411"/>
        <w:gridCol w:w="4087"/>
      </w:tblGrid>
      <w:tr w:rsidR="00C61BF5" w:rsidRPr="008F6480" w14:paraId="6AFA6357" w14:textId="77777777" w:rsidTr="00C61BF5">
        <w:trPr>
          <w:cnfStyle w:val="100000000000" w:firstRow="1" w:lastRow="0" w:firstColumn="0" w:lastColumn="0" w:oddVBand="0" w:evenVBand="0" w:oddHBand="0" w:evenHBand="0" w:firstRowFirstColumn="0" w:firstRowLastColumn="0" w:lastRowFirstColumn="0" w:lastRowLastColumn="0"/>
          <w:tblHeader/>
        </w:trPr>
        <w:tc>
          <w:tcPr>
            <w:tcW w:w="0" w:type="auto"/>
          </w:tcPr>
          <w:p w14:paraId="10970B1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Variable</w:t>
            </w:r>
          </w:p>
        </w:tc>
        <w:tc>
          <w:tcPr>
            <w:tcW w:w="0" w:type="auto"/>
          </w:tcPr>
          <w:p w14:paraId="0D90BDE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Operational definition</w:t>
            </w:r>
          </w:p>
        </w:tc>
        <w:tc>
          <w:tcPr>
            <w:tcW w:w="0" w:type="auto"/>
          </w:tcPr>
          <w:p w14:paraId="04D142C0"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Allowed interpretation</w:t>
            </w:r>
          </w:p>
        </w:tc>
      </w:tr>
      <w:tr w:rsidR="00C61BF5" w:rsidRPr="008F6480" w14:paraId="32365CD3" w14:textId="77777777">
        <w:tc>
          <w:tcPr>
            <w:tcW w:w="0" w:type="auto"/>
          </w:tcPr>
          <w:p w14:paraId="22C1E529"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G</w:t>
            </w:r>
          </w:p>
        </w:tc>
        <w:tc>
          <w:tcPr>
            <w:tcW w:w="0" w:type="auto"/>
          </w:tcPr>
          <w:p w14:paraId="03812699"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Antecedent greenness anomaly from tree-dominated HLS pixels, relative to the block and day-of-year expectation</w:t>
            </w:r>
          </w:p>
        </w:tc>
        <w:tc>
          <w:tcPr>
            <w:tcW w:w="0" w:type="auto"/>
          </w:tcPr>
          <w:p w14:paraId="0CB260C0"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Greenness-linked optical condition</w:t>
            </w:r>
          </w:p>
        </w:tc>
      </w:tr>
      <w:tr w:rsidR="00C61BF5" w:rsidRPr="008F6480" w14:paraId="6F01DEC2" w14:textId="77777777">
        <w:tc>
          <w:tcPr>
            <w:tcW w:w="0" w:type="auto"/>
          </w:tcPr>
          <w:p w14:paraId="6A93D18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W_tree</w:t>
            </w:r>
          </w:p>
        </w:tc>
        <w:tc>
          <w:tcPr>
            <w:tcW w:w="0" w:type="auto"/>
          </w:tcPr>
          <w:p w14:paraId="43DA482A"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Cross-fitted SWIR-sensitive residual after accounting for greenness, season, sensor, source date, optical age, city and block; computed over tree-dominated pixels</w:t>
            </w:r>
          </w:p>
        </w:tc>
        <w:tc>
          <w:tcPr>
            <w:tcW w:w="0" w:type="auto"/>
          </w:tcPr>
          <w:p w14:paraId="280F537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Tree-side SWIR-sensitive residual condition anomaly. Not leaf water, stress, health or stomatal closure</w:t>
            </w:r>
          </w:p>
        </w:tc>
      </w:tr>
      <w:tr w:rsidR="00C61BF5" w:rsidRPr="008F6480" w14:paraId="7A16E832" w14:textId="77777777">
        <w:tc>
          <w:tcPr>
            <w:tcW w:w="0" w:type="auto"/>
          </w:tcPr>
          <w:p w14:paraId="35CBB33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W_bg</w:t>
            </w:r>
          </w:p>
        </w:tc>
        <w:tc>
          <w:tcPr>
            <w:tcW w:w="0" w:type="auto"/>
          </w:tcPr>
          <w:p w14:paraId="62A6E65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The same residual construction, from the same HLS acquisition, over the fixed non-tree pervious and low-vegetation background population</w:t>
            </w:r>
          </w:p>
        </w:tc>
        <w:tc>
          <w:tcPr>
            <w:tcW w:w="0" w:type="auto"/>
          </w:tcPr>
          <w:p w14:paraId="37DED179"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Background-side SWIR-sensitive residual condition anomaly. Not soil moisture or available water</w:t>
            </w:r>
          </w:p>
        </w:tc>
      </w:tr>
      <w:tr w:rsidR="00C61BF5" w:rsidRPr="008F6480" w14:paraId="6F2BB64A" w14:textId="77777777">
        <w:tc>
          <w:tcPr>
            <w:tcW w:w="0" w:type="auto"/>
          </w:tcPr>
          <w:p w14:paraId="5BD6ACD0"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W_bg placebo</w:t>
            </w:r>
          </w:p>
        </w:tc>
        <w:tc>
          <w:tcPr>
            <w:tcW w:w="0" w:type="auto"/>
          </w:tcPr>
          <w:p w14:paraId="55B0A1EB"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The same construction over a separate fixed impervious and bare population</w:t>
            </w:r>
          </w:p>
        </w:tc>
        <w:tc>
          <w:tcPr>
            <w:tcW w:w="0" w:type="auto"/>
          </w:tcPr>
          <w:p w14:paraId="7440A5F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Placebo and sensitivity only</w:t>
            </w:r>
          </w:p>
        </w:tc>
      </w:tr>
      <w:tr w:rsidR="00C61BF5" w:rsidRPr="008F6480" w14:paraId="5C79B84D" w14:textId="77777777">
        <w:tc>
          <w:tcPr>
            <w:tcW w:w="0" w:type="auto"/>
          </w:tcPr>
          <w:p w14:paraId="7AFD32A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CE(b,p)</w:t>
            </w:r>
          </w:p>
        </w:tc>
        <w:tc>
          <w:tcPr>
            <w:tcW w:w="0" w:type="auto"/>
          </w:tcPr>
          <w:p w14:paraId="5E8E62E0"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Minus 0.10 times the canopy–LST slope for block b on pass p, with canopy fraction on a 0–1 scale</w:t>
            </w:r>
          </w:p>
        </w:tc>
        <w:tc>
          <w:tcPr>
            <w:tcW w:w="0" w:type="auto"/>
          </w:tcPr>
          <w:p w14:paraId="17741C9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Kelvin of lower surface temperature associated with a 10-percentage-point increase in mapped canopy, conditional on measured local context</w:t>
            </w:r>
          </w:p>
        </w:tc>
      </w:tr>
    </w:tbl>
    <w:p w14:paraId="44A04DF2" w14:textId="77777777" w:rsidR="00C61BF5" w:rsidRPr="008F6480" w:rsidRDefault="00000000">
      <w:pPr>
        <w:pStyle w:val="Heading3"/>
        <w:rPr>
          <w:rFonts w:ascii="Calibri" w:hAnsi="Calibri" w:cs="Calibri"/>
          <w:color w:val="000000" w:themeColor="text1"/>
          <w:sz w:val="22"/>
          <w:szCs w:val="22"/>
        </w:rPr>
      </w:pPr>
      <w:bookmarkStart w:id="3" w:name="the-predicted-sign-pattern"/>
      <w:r w:rsidRPr="008F6480">
        <w:rPr>
          <w:rFonts w:ascii="Calibri" w:hAnsi="Calibri" w:cs="Calibri"/>
          <w:color w:val="000000" w:themeColor="text1"/>
          <w:sz w:val="22"/>
          <w:szCs w:val="22"/>
        </w:rPr>
        <w:t>1.1 The predicted sign pattern</w:t>
      </w:r>
    </w:p>
    <w:p w14:paraId="54DB0CF0" w14:textId="77777777" w:rsidR="00C61BF5" w:rsidRPr="008F6480" w:rsidRDefault="00000000">
      <w:pPr>
        <w:pStyle w:val="FirstParagraph"/>
        <w:rPr>
          <w:rFonts w:ascii="Calibri" w:hAnsi="Calibri" w:cs="Calibri"/>
          <w:color w:val="000000" w:themeColor="text1"/>
          <w:sz w:val="22"/>
          <w:szCs w:val="22"/>
        </w:rPr>
      </w:pPr>
      <w:r w:rsidRPr="008F6480">
        <w:rPr>
          <w:rFonts w:ascii="Calibri" w:hAnsi="Calibri" w:cs="Calibri"/>
          <w:color w:val="000000" w:themeColor="text1"/>
          <w:sz w:val="22"/>
          <w:szCs w:val="22"/>
        </w:rPr>
        <w:t xml:space="preserve">The two condition components act at opposite ends of the within-block regression line, so they carry opposite predicted signs. A decline in W_tree concerns the high-canopy cells; if those run warmer, the slope moves toward zero and CE falls, giving θ_wt &gt; 0 on the CE scale. A decline in W_bg over the </w:t>
      </w:r>
      <w:r w:rsidRPr="008F6480">
        <w:rPr>
          <w:rFonts w:ascii="Calibri" w:hAnsi="Calibri" w:cs="Calibri"/>
          <w:color w:val="000000" w:themeColor="text1"/>
          <w:sz w:val="22"/>
          <w:szCs w:val="22"/>
        </w:rPr>
        <w:lastRenderedPageBreak/>
        <w:t>pervious background concerns the low-canopy cells; if those run warmer, the slope steepens and CE rises, giving θ_wb &lt; 0 on the CE scale. Signs reverse on the raw slope scale.</w:t>
      </w:r>
    </w:p>
    <w:p w14:paraId="728C2CB9" w14:textId="77777777" w:rsidR="00C61BF5" w:rsidRPr="008F6480" w:rsidRDefault="00000000">
      <w:pPr>
        <w:pStyle w:val="BodyText"/>
        <w:rPr>
          <w:rFonts w:ascii="Calibri" w:hAnsi="Calibri" w:cs="Calibri"/>
          <w:color w:val="000000" w:themeColor="text1"/>
          <w:sz w:val="22"/>
          <w:szCs w:val="22"/>
        </w:rPr>
      </w:pPr>
      <w:r w:rsidRPr="008F6480">
        <w:rPr>
          <w:rFonts w:ascii="Calibri" w:hAnsi="Calibri" w:cs="Calibri"/>
          <w:color w:val="000000" w:themeColor="text1"/>
          <w:sz w:val="22"/>
          <w:szCs w:val="22"/>
        </w:rPr>
        <w:t>The prediction holds only for a pervious, low-vegetation background. Reflectance over pavement and bare soil responds mainly to surface wetting and material, so that class is the placebo.</w:t>
      </w:r>
    </w:p>
    <w:p w14:paraId="069CB7BC" w14:textId="77777777" w:rsidR="00C61BF5" w:rsidRPr="008F6480" w:rsidRDefault="00000000">
      <w:pPr>
        <w:pStyle w:val="BodyText"/>
        <w:rPr>
          <w:rFonts w:ascii="Calibri" w:hAnsi="Calibri" w:cs="Calibri"/>
          <w:color w:val="000000" w:themeColor="text1"/>
          <w:sz w:val="22"/>
          <w:szCs w:val="22"/>
        </w:rPr>
      </w:pPr>
      <w:r w:rsidRPr="008F6480">
        <w:rPr>
          <w:rFonts w:ascii="Calibri" w:hAnsi="Calibri" w:cs="Calibri"/>
          <w:color w:val="000000" w:themeColor="text1"/>
          <w:sz w:val="22"/>
          <w:szCs w:val="22"/>
        </w:rPr>
        <w:t>A single block-mean W averages two opposite-signed effects and can return a coefficient near zero when both pathways are active. Separating them is a correctness requirement, not a robustness check. Opposite signs are consistency evidence and not proof of a physiological process.</w:t>
      </w:r>
    </w:p>
    <w:p w14:paraId="45416ACF" w14:textId="77777777" w:rsidR="00C61BF5" w:rsidRPr="008F6480" w:rsidRDefault="00000000">
      <w:pPr>
        <w:pStyle w:val="Heading3"/>
        <w:rPr>
          <w:rFonts w:ascii="Calibri" w:hAnsi="Calibri" w:cs="Calibri"/>
          <w:color w:val="000000" w:themeColor="text1"/>
          <w:sz w:val="22"/>
          <w:szCs w:val="22"/>
        </w:rPr>
      </w:pPr>
      <w:bookmarkStart w:id="4" w:name="blinding-statement"/>
      <w:bookmarkEnd w:id="3"/>
      <w:r w:rsidRPr="008F6480">
        <w:rPr>
          <w:rFonts w:ascii="Calibri" w:hAnsi="Calibri" w:cs="Calibri"/>
          <w:color w:val="000000" w:themeColor="text1"/>
          <w:sz w:val="22"/>
          <w:szCs w:val="22"/>
        </w:rPr>
        <w:t>1.2 Blinding statement</w:t>
      </w:r>
    </w:p>
    <w:p w14:paraId="79AB53EC" w14:textId="77777777" w:rsidR="00C61BF5" w:rsidRPr="008F6480" w:rsidRDefault="00000000">
      <w:pPr>
        <w:pStyle w:val="FirstParagraph"/>
        <w:rPr>
          <w:rFonts w:ascii="Calibri" w:hAnsi="Calibri" w:cs="Calibri"/>
          <w:color w:val="000000" w:themeColor="text1"/>
          <w:sz w:val="22"/>
          <w:szCs w:val="22"/>
        </w:rPr>
      </w:pPr>
      <w:r w:rsidRPr="008F6480">
        <w:rPr>
          <w:rFonts w:ascii="Calibri" w:hAnsi="Calibri" w:cs="Calibri"/>
          <w:color w:val="000000" w:themeColor="text1"/>
          <w:sz w:val="22"/>
          <w:szCs w:val="22"/>
        </w:rPr>
        <w:t>Earlier Phoenix LST values and analyses were viewed under retired designs, so v6.2 is not globally outcome-blind. The defensible statement is that the v6.2 exposure rules, inclusion rules, primary estimator and cross-city decisions are frozen before the new v6.2 coefficients are viewed, and that Gate B point estimates are sealed while precision is audited. Disclose the earlier Phoenix work in the protocol and in the manuscript.</w:t>
      </w:r>
    </w:p>
    <w:p w14:paraId="3CBF84F0" w14:textId="77777777" w:rsidR="00C61BF5" w:rsidRPr="008F6480" w:rsidRDefault="00000000">
      <w:pPr>
        <w:pStyle w:val="Heading2"/>
        <w:rPr>
          <w:rFonts w:ascii="Calibri" w:hAnsi="Calibri" w:cs="Calibri"/>
          <w:color w:val="000000" w:themeColor="text1"/>
          <w:sz w:val="22"/>
          <w:szCs w:val="22"/>
        </w:rPr>
      </w:pPr>
      <w:bookmarkStart w:id="5" w:name="twelve-rules"/>
      <w:bookmarkEnd w:id="2"/>
      <w:bookmarkEnd w:id="4"/>
      <w:r w:rsidRPr="008F6480">
        <w:rPr>
          <w:rFonts w:ascii="Calibri" w:hAnsi="Calibri" w:cs="Calibri"/>
          <w:color w:val="000000" w:themeColor="text1"/>
          <w:sz w:val="22"/>
          <w:szCs w:val="22"/>
        </w:rPr>
        <w:t>2. Twelve rules</w:t>
      </w:r>
    </w:p>
    <w:p w14:paraId="1A5BBCF0" w14:textId="77777777" w:rsidR="00C61BF5" w:rsidRPr="008F6480" w:rsidRDefault="00000000">
      <w:pPr>
        <w:pStyle w:val="Compact"/>
        <w:numPr>
          <w:ilvl w:val="0"/>
          <w:numId w:val="2"/>
        </w:numPr>
        <w:rPr>
          <w:rFonts w:ascii="Calibri" w:hAnsi="Calibri" w:cs="Calibri"/>
          <w:color w:val="000000" w:themeColor="text1"/>
          <w:sz w:val="22"/>
          <w:szCs w:val="22"/>
        </w:rPr>
      </w:pPr>
      <w:r w:rsidRPr="008F6480">
        <w:rPr>
          <w:rFonts w:ascii="Calibri" w:hAnsi="Calibri" w:cs="Calibri"/>
          <w:color w:val="000000" w:themeColor="text1"/>
          <w:sz w:val="22"/>
          <w:szCs w:val="22"/>
        </w:rPr>
        <w:t>The condition unit is one block-pass. Pixels estimate a slope inside a block-pass; they do not create additional independent condition observations. Any standard error or power figure computed from nominal pixel counts is wrong.</w:t>
      </w:r>
    </w:p>
    <w:p w14:paraId="4C6BFD2E" w14:textId="77777777" w:rsidR="00C61BF5" w:rsidRPr="008F6480" w:rsidRDefault="00000000">
      <w:pPr>
        <w:pStyle w:val="Compact"/>
        <w:numPr>
          <w:ilvl w:val="0"/>
          <w:numId w:val="2"/>
        </w:numPr>
        <w:rPr>
          <w:rFonts w:ascii="Calibri" w:hAnsi="Calibri" w:cs="Calibri"/>
          <w:color w:val="000000" w:themeColor="text1"/>
          <w:sz w:val="22"/>
          <w:szCs w:val="22"/>
        </w:rPr>
      </w:pPr>
      <w:r w:rsidRPr="008F6480">
        <w:rPr>
          <w:rFonts w:ascii="Calibri" w:hAnsi="Calibri" w:cs="Calibri"/>
          <w:color w:val="000000" w:themeColor="text1"/>
          <w:sz w:val="22"/>
          <w:szCs w:val="22"/>
        </w:rPr>
        <w:t>The main thermal response is one block-specific canopy slope on one pass. The implementation must explicitly estimate C(block):canopy interactions. A single global canopy coefficient is the wrong response.</w:t>
      </w:r>
    </w:p>
    <w:p w14:paraId="65DCBE2D" w14:textId="77777777" w:rsidR="00C61BF5" w:rsidRPr="008F6480" w:rsidRDefault="00000000">
      <w:pPr>
        <w:pStyle w:val="Compact"/>
        <w:numPr>
          <w:ilvl w:val="0"/>
          <w:numId w:val="2"/>
        </w:numPr>
        <w:rPr>
          <w:rFonts w:ascii="Calibri" w:hAnsi="Calibri" w:cs="Calibri"/>
          <w:color w:val="000000" w:themeColor="text1"/>
          <w:sz w:val="22"/>
          <w:szCs w:val="22"/>
        </w:rPr>
      </w:pPr>
      <w:r w:rsidRPr="008F6480">
        <w:rPr>
          <w:rFonts w:ascii="Calibri" w:hAnsi="Calibri" w:cs="Calibri"/>
          <w:color w:val="000000" w:themeColor="text1"/>
          <w:sz w:val="22"/>
          <w:szCs w:val="22"/>
        </w:rPr>
        <w:t>Every exposure image is antecedent. No post-pass image enters G, W_tree or W_bg, and no centred optical window is used as an exposure.</w:t>
      </w:r>
    </w:p>
    <w:p w14:paraId="6078B6D6" w14:textId="77777777" w:rsidR="00C61BF5" w:rsidRPr="008F6480" w:rsidRDefault="00000000">
      <w:pPr>
        <w:pStyle w:val="Compact"/>
        <w:numPr>
          <w:ilvl w:val="0"/>
          <w:numId w:val="2"/>
        </w:numPr>
        <w:rPr>
          <w:rFonts w:ascii="Calibri" w:hAnsi="Calibri" w:cs="Calibri"/>
          <w:color w:val="000000" w:themeColor="text1"/>
          <w:sz w:val="22"/>
          <w:szCs w:val="22"/>
        </w:rPr>
      </w:pPr>
      <w:r w:rsidRPr="008F6480">
        <w:rPr>
          <w:rFonts w:ascii="Calibri" w:hAnsi="Calibri" w:cs="Calibri"/>
          <w:color w:val="000000" w:themeColor="text1"/>
          <w:sz w:val="22"/>
          <w:szCs w:val="22"/>
        </w:rPr>
        <w:t>W_tree and W_bg use the same HLS acquisition within a block-pass. Every row retains optical_acquisition_id, sensor, source date and optical age.</w:t>
      </w:r>
    </w:p>
    <w:p w14:paraId="120B1E90" w14:textId="77777777" w:rsidR="00C61BF5" w:rsidRPr="008F6480" w:rsidRDefault="00000000">
      <w:pPr>
        <w:pStyle w:val="Compact"/>
        <w:numPr>
          <w:ilvl w:val="0"/>
          <w:numId w:val="2"/>
        </w:numPr>
        <w:rPr>
          <w:rFonts w:ascii="Calibri" w:hAnsi="Calibri" w:cs="Calibri"/>
          <w:color w:val="000000" w:themeColor="text1"/>
          <w:sz w:val="22"/>
          <w:szCs w:val="22"/>
        </w:rPr>
      </w:pPr>
      <w:r w:rsidRPr="008F6480">
        <w:rPr>
          <w:rFonts w:ascii="Calibri" w:hAnsi="Calibri" w:cs="Calibri"/>
          <w:color w:val="000000" w:themeColor="text1"/>
          <w:sz w:val="22"/>
          <w:szCs w:val="22"/>
        </w:rPr>
        <w:t>Use strict optical terminology. W is not moisture, water content, health, stress, stomatal closure or soil moisture. Lower W is not automatically “drier.”</w:t>
      </w:r>
    </w:p>
    <w:p w14:paraId="4FA04697" w14:textId="77777777" w:rsidR="00C61BF5" w:rsidRPr="008F6480" w:rsidRDefault="00000000">
      <w:pPr>
        <w:pStyle w:val="Compact"/>
        <w:numPr>
          <w:ilvl w:val="0"/>
          <w:numId w:val="2"/>
        </w:numPr>
        <w:rPr>
          <w:rFonts w:ascii="Calibri" w:hAnsi="Calibri" w:cs="Calibri"/>
          <w:color w:val="000000" w:themeColor="text1"/>
          <w:sz w:val="22"/>
          <w:szCs w:val="22"/>
        </w:rPr>
      </w:pPr>
      <w:r w:rsidRPr="008F6480">
        <w:rPr>
          <w:rFonts w:ascii="Calibri" w:hAnsi="Calibri" w:cs="Calibri"/>
          <w:color w:val="000000" w:themeColor="text1"/>
          <w:sz w:val="22"/>
          <w:szCs w:val="22"/>
        </w:rPr>
        <w:t>The primary LST grid is the native ECOSTRESS MGRS grid. Do not resample LST. Area-aggregate other layers to exact native cells.</w:t>
      </w:r>
    </w:p>
    <w:p w14:paraId="52C0E53F" w14:textId="77777777" w:rsidR="00C61BF5" w:rsidRPr="008F6480" w:rsidRDefault="00000000">
      <w:pPr>
        <w:pStyle w:val="Compact"/>
        <w:numPr>
          <w:ilvl w:val="0"/>
          <w:numId w:val="2"/>
        </w:numPr>
        <w:rPr>
          <w:rFonts w:ascii="Calibri" w:hAnsi="Calibri" w:cs="Calibri"/>
          <w:color w:val="000000" w:themeColor="text1"/>
          <w:sz w:val="22"/>
          <w:szCs w:val="22"/>
        </w:rPr>
      </w:pPr>
      <w:r w:rsidRPr="008F6480">
        <w:rPr>
          <w:rFonts w:ascii="Calibri" w:hAnsi="Calibri" w:cs="Calibri"/>
          <w:color w:val="000000" w:themeColor="text1"/>
          <w:sz w:val="22"/>
          <w:szCs w:val="22"/>
        </w:rPr>
        <w:t>Freeze the current raw Science TCC release and primary years before Gate A. Canopy amount is the stable structural variable; dynamic optical condition is the exposure.</w:t>
      </w:r>
    </w:p>
    <w:p w14:paraId="4D278C49" w14:textId="77777777" w:rsidR="00C61BF5" w:rsidRPr="008F6480" w:rsidRDefault="00000000">
      <w:pPr>
        <w:pStyle w:val="Compact"/>
        <w:numPr>
          <w:ilvl w:val="0"/>
          <w:numId w:val="2"/>
        </w:numPr>
        <w:rPr>
          <w:rFonts w:ascii="Calibri" w:hAnsi="Calibri" w:cs="Calibri"/>
          <w:color w:val="000000" w:themeColor="text1"/>
          <w:sz w:val="22"/>
          <w:szCs w:val="22"/>
        </w:rPr>
      </w:pPr>
      <w:r w:rsidRPr="008F6480">
        <w:rPr>
          <w:rFonts w:ascii="Calibri" w:hAnsi="Calibri" w:cs="Calibri"/>
          <w:color w:val="000000" w:themeColor="text1"/>
          <w:sz w:val="22"/>
          <w:szCs w:val="22"/>
        </w:rPr>
        <w:t>W_tree, W_bg and any fallback contrast must each pass reliability, identifying-variance, leverage and power checks. A clean W_tree with an unusable W_bg does not pass a two-component design.</w:t>
      </w:r>
    </w:p>
    <w:p w14:paraId="013DA3AA" w14:textId="77777777" w:rsidR="00C61BF5" w:rsidRPr="008F6480" w:rsidRDefault="00000000">
      <w:pPr>
        <w:pStyle w:val="Compact"/>
        <w:numPr>
          <w:ilvl w:val="0"/>
          <w:numId w:val="2"/>
        </w:numPr>
        <w:rPr>
          <w:rFonts w:ascii="Calibri" w:hAnsi="Calibri" w:cs="Calibri"/>
          <w:color w:val="000000" w:themeColor="text1"/>
          <w:sz w:val="22"/>
          <w:szCs w:val="22"/>
        </w:rPr>
      </w:pPr>
      <w:r w:rsidRPr="008F6480">
        <w:rPr>
          <w:rFonts w:ascii="Calibri" w:hAnsi="Calibri" w:cs="Calibri"/>
          <w:color w:val="000000" w:themeColor="text1"/>
          <w:sz w:val="22"/>
          <w:szCs w:val="22"/>
        </w:rPr>
        <w:t>The background population has a fixed class definition. A changing mix of turf, soil, pavement and roofs cannot be treated as one stable exposure.</w:t>
      </w:r>
    </w:p>
    <w:p w14:paraId="34BC6DC0" w14:textId="77777777" w:rsidR="00C61BF5" w:rsidRPr="008F6480" w:rsidRDefault="00000000">
      <w:pPr>
        <w:pStyle w:val="Compact"/>
        <w:numPr>
          <w:ilvl w:val="0"/>
          <w:numId w:val="2"/>
        </w:numPr>
        <w:rPr>
          <w:rFonts w:ascii="Calibri" w:hAnsi="Calibri" w:cs="Calibri"/>
          <w:color w:val="000000" w:themeColor="text1"/>
          <w:sz w:val="22"/>
          <w:szCs w:val="22"/>
        </w:rPr>
      </w:pPr>
      <w:r w:rsidRPr="008F6480">
        <w:rPr>
          <w:rFonts w:ascii="Calibri" w:hAnsi="Calibri" w:cs="Calibri"/>
          <w:color w:val="000000" w:themeColor="text1"/>
          <w:sz w:val="22"/>
          <w:szCs w:val="22"/>
        </w:rPr>
        <w:t>Audit the exact identifying component. Raw mapped variance does not power a two-way fixed-effects model. Residualise each condition variable under the frozen nuisance structure before any support or power calculation.</w:t>
      </w:r>
    </w:p>
    <w:p w14:paraId="3BCB330C" w14:textId="77777777" w:rsidR="00C61BF5" w:rsidRPr="008F6480" w:rsidRDefault="00000000">
      <w:pPr>
        <w:pStyle w:val="Compact"/>
        <w:numPr>
          <w:ilvl w:val="0"/>
          <w:numId w:val="2"/>
        </w:numPr>
        <w:rPr>
          <w:rFonts w:ascii="Calibri" w:hAnsi="Calibri" w:cs="Calibri"/>
          <w:color w:val="000000" w:themeColor="text1"/>
          <w:sz w:val="22"/>
          <w:szCs w:val="22"/>
        </w:rPr>
      </w:pPr>
      <w:r w:rsidRPr="008F6480">
        <w:rPr>
          <w:rFonts w:ascii="Calibri" w:hAnsi="Calibri" w:cs="Calibri"/>
          <w:color w:val="000000" w:themeColor="text1"/>
          <w:sz w:val="22"/>
          <w:szCs w:val="22"/>
        </w:rPr>
        <w:t>Do not rescue connectivity with random effects. Analyse the sufficiently connected component under the frozen fixed-effects model. If support is inadequate in both cities after one pre-authorised widening, stop or reframe.</w:t>
      </w:r>
    </w:p>
    <w:p w14:paraId="7D721F98" w14:textId="77777777" w:rsidR="00C61BF5" w:rsidRPr="008F6480" w:rsidRDefault="00000000">
      <w:pPr>
        <w:pStyle w:val="Compact"/>
        <w:numPr>
          <w:ilvl w:val="0"/>
          <w:numId w:val="2"/>
        </w:numPr>
        <w:rPr>
          <w:rFonts w:ascii="Calibri" w:hAnsi="Calibri" w:cs="Calibri"/>
          <w:color w:val="000000" w:themeColor="text1"/>
          <w:sz w:val="22"/>
          <w:szCs w:val="22"/>
        </w:rPr>
      </w:pPr>
      <w:r w:rsidRPr="008F6480">
        <w:rPr>
          <w:rFonts w:ascii="Calibri" w:hAnsi="Calibri" w:cs="Calibri"/>
          <w:color w:val="000000" w:themeColor="text1"/>
          <w:sz w:val="22"/>
          <w:szCs w:val="22"/>
        </w:rPr>
        <w:t>Do not change inclusion rules, windows, thresholds, cities, scales or model terms after the relevant new coefficient is viewed. Every earlier Phoenix thermal analysis is disclosed.</w:t>
      </w:r>
    </w:p>
    <w:p w14:paraId="1E3316B6" w14:textId="77777777" w:rsidR="00C61BF5" w:rsidRPr="008F6480" w:rsidRDefault="00000000">
      <w:pPr>
        <w:pStyle w:val="FirstParagraph"/>
        <w:rPr>
          <w:rFonts w:ascii="Calibri" w:hAnsi="Calibri" w:cs="Calibri"/>
          <w:color w:val="000000" w:themeColor="text1"/>
          <w:sz w:val="22"/>
          <w:szCs w:val="22"/>
        </w:rPr>
      </w:pPr>
      <w:r w:rsidRPr="008F6480">
        <w:rPr>
          <w:rFonts w:ascii="Calibri" w:hAnsi="Calibri" w:cs="Calibri"/>
          <w:color w:val="000000" w:themeColor="text1"/>
          <w:sz w:val="22"/>
          <w:szCs w:val="22"/>
        </w:rPr>
        <w:lastRenderedPageBreak/>
        <w:t>Two further rules govern the writing. Cite Smith et al. (2023) in the first paragraph of the introduction, because it already reports that a SWIR water index explains variation in the tree-cover cooling slope and already computes that index separately over tree and grass pixels. And engage with Zhao et al. (2023) and Bachofen et al. (2025), which together predict that irrigation may buffer tree water status in exactly the two target cities.</w:t>
      </w:r>
    </w:p>
    <w:p w14:paraId="28FB0DC6" w14:textId="77777777" w:rsidR="00C61BF5" w:rsidRPr="008F6480" w:rsidRDefault="00000000">
      <w:pPr>
        <w:pStyle w:val="Heading2"/>
        <w:rPr>
          <w:rFonts w:ascii="Calibri" w:hAnsi="Calibri" w:cs="Calibri"/>
          <w:color w:val="000000" w:themeColor="text1"/>
          <w:sz w:val="22"/>
          <w:szCs w:val="22"/>
        </w:rPr>
      </w:pPr>
      <w:bookmarkStart w:id="6" w:name="where-the-completed-work-fits"/>
      <w:bookmarkEnd w:id="5"/>
      <w:r w:rsidRPr="008F6480">
        <w:rPr>
          <w:rFonts w:ascii="Calibri" w:hAnsi="Calibri" w:cs="Calibri"/>
          <w:color w:val="000000" w:themeColor="text1"/>
          <w:sz w:val="22"/>
          <w:szCs w:val="22"/>
        </w:rPr>
        <w:t>3. Where the completed work fits</w:t>
      </w:r>
    </w:p>
    <w:p w14:paraId="424C2D9C" w14:textId="77777777" w:rsidR="00C61BF5" w:rsidRPr="008F6480" w:rsidRDefault="00000000">
      <w:pPr>
        <w:pStyle w:val="FirstParagraph"/>
        <w:rPr>
          <w:rFonts w:ascii="Calibri" w:hAnsi="Calibri" w:cs="Calibri"/>
          <w:color w:val="000000" w:themeColor="text1"/>
          <w:sz w:val="22"/>
          <w:szCs w:val="22"/>
        </w:rPr>
      </w:pPr>
      <w:r w:rsidRPr="008F6480">
        <w:rPr>
          <w:rFonts w:ascii="Calibri" w:hAnsi="Calibri" w:cs="Calibri"/>
          <w:color w:val="000000" w:themeColor="text1"/>
          <w:sz w:val="22"/>
          <w:szCs w:val="22"/>
        </w:rPr>
        <w:t>Work completed to date remains valuable, and not every historical count is the v6.2 sample. The retained 219 passes and the 102 early-late passes were produced under the retired whole-city coverage rule and the retired time-of-day design. They are a provenance baseline.</w:t>
      </w:r>
    </w:p>
    <w:tbl>
      <w:tblPr>
        <w:tblStyle w:val="Table"/>
        <w:tblW w:w="5000" w:type="pct"/>
        <w:tblLook w:val="0020" w:firstRow="1" w:lastRow="0" w:firstColumn="0" w:lastColumn="0" w:noHBand="0" w:noVBand="0"/>
      </w:tblPr>
      <w:tblGrid>
        <w:gridCol w:w="2975"/>
        <w:gridCol w:w="1460"/>
        <w:gridCol w:w="5141"/>
      </w:tblGrid>
      <w:tr w:rsidR="00C61BF5" w:rsidRPr="008F6480" w14:paraId="33142908" w14:textId="77777777" w:rsidTr="00C61BF5">
        <w:trPr>
          <w:cnfStyle w:val="100000000000" w:firstRow="1" w:lastRow="0" w:firstColumn="0" w:lastColumn="0" w:oddVBand="0" w:evenVBand="0" w:oddHBand="0" w:evenHBand="0" w:firstRowFirstColumn="0" w:firstRowLastColumn="0" w:lastRowFirstColumn="0" w:lastRowLastColumn="0"/>
          <w:tblHeader/>
        </w:trPr>
        <w:tc>
          <w:tcPr>
            <w:tcW w:w="0" w:type="auto"/>
          </w:tcPr>
          <w:p w14:paraId="7F7E9ADA"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Completed item</w:t>
            </w:r>
          </w:p>
        </w:tc>
        <w:tc>
          <w:tcPr>
            <w:tcW w:w="0" w:type="auto"/>
          </w:tcPr>
          <w:p w14:paraId="37078D97"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Status</w:t>
            </w:r>
          </w:p>
        </w:tc>
        <w:tc>
          <w:tcPr>
            <w:tcW w:w="0" w:type="auto"/>
          </w:tcPr>
          <w:p w14:paraId="37CF9F0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Action</w:t>
            </w:r>
          </w:p>
        </w:tc>
      </w:tr>
      <w:tr w:rsidR="00C61BF5" w:rsidRPr="008F6480" w14:paraId="5757E69D" w14:textId="77777777">
        <w:tc>
          <w:tcPr>
            <w:tcW w:w="0" w:type="auto"/>
          </w:tcPr>
          <w:p w14:paraId="2776E3C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Environment, accounts, repository, manifests, checksums, decision log</w:t>
            </w:r>
          </w:p>
        </w:tc>
        <w:tc>
          <w:tcPr>
            <w:tcW w:w="0" w:type="auto"/>
          </w:tcPr>
          <w:p w14:paraId="170E561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Keep</w:t>
            </w:r>
          </w:p>
        </w:tc>
        <w:tc>
          <w:tcPr>
            <w:tcW w:w="0" w:type="auto"/>
          </w:tcPr>
          <w:p w14:paraId="1C0A6F2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Create a v6.2 branch, tag the last inherited commit, preserve the exact environment and raw-data hashes</w:t>
            </w:r>
          </w:p>
        </w:tc>
      </w:tr>
      <w:tr w:rsidR="00C61BF5" w:rsidRPr="008F6480" w14:paraId="38684F74" w14:textId="77777777">
        <w:tc>
          <w:tcPr>
            <w:tcW w:w="0" w:type="auto"/>
          </w:tcPr>
          <w:p w14:paraId="623709F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13,577 raw tile records; 13,575 latest revisions; 2,968 city-orbit observations</w:t>
            </w:r>
          </w:p>
        </w:tc>
        <w:tc>
          <w:tcPr>
            <w:tcW w:w="0" w:type="auto"/>
          </w:tcPr>
          <w:p w14:paraId="74876A3A"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Keep and verify</w:t>
            </w:r>
          </w:p>
        </w:tc>
        <w:tc>
          <w:tcPr>
            <w:tcW w:w="0" w:type="auto"/>
          </w:tcPr>
          <w:p w14:paraId="0A03372C"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Reuse the catalogue and grouping logic. Independently reproduce a stratified sample from raw CMR metadata and rerun the exact Collection 3 query</w:t>
            </w:r>
          </w:p>
        </w:tc>
      </w:tr>
      <w:tr w:rsidR="00C61BF5" w:rsidRPr="008F6480" w14:paraId="56F44350" w14:textId="77777777">
        <w:tc>
          <w:tcPr>
            <w:tcW w:w="0" w:type="auto"/>
          </w:tcPr>
          <w:p w14:paraId="14BCDF0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1,055 daytime, 942 metadata-screened, 911 archive-available, 219 geometry-screened, 102 early-late passes</w:t>
            </w:r>
          </w:p>
        </w:tc>
        <w:tc>
          <w:tcPr>
            <w:tcW w:w="0" w:type="auto"/>
          </w:tcPr>
          <w:p w14:paraId="2CC4A067"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Keep as baseline</w:t>
            </w:r>
          </w:p>
        </w:tc>
        <w:tc>
          <w:tcPr>
            <w:tcW w:w="0" w:type="auto"/>
          </w:tcPr>
          <w:p w14:paraId="0E4A643D"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Retain in the attrition history. Refilter for v6.2 urban-core and block representation, current season windows, and the 15 and 25 degree geometry sets</w:t>
            </w:r>
          </w:p>
        </w:tc>
      </w:tr>
      <w:tr w:rsidR="00C61BF5" w:rsidRPr="008F6480" w14:paraId="17A73C40" w14:textId="77777777">
        <w:tc>
          <w:tcPr>
            <w:tcW w:w="0" w:type="auto"/>
          </w:tcPr>
          <w:p w14:paraId="73C7350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413 exact-time HRRR assets and interpolation code</w:t>
            </w:r>
          </w:p>
        </w:tc>
        <w:tc>
          <w:tcPr>
            <w:tcW w:w="0" w:type="auto"/>
          </w:tcPr>
          <w:p w14:paraId="3C49DC4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Keep, known-answer test</w:t>
            </w:r>
          </w:p>
        </w:tc>
        <w:tc>
          <w:tcPr>
            <w:tcW w:w="0" w:type="auto"/>
          </w:tcPr>
          <w:p w14:paraId="78956DE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Verify units, temporal interpolation, city spatial averaging, and VPD against hand calculations. Use only if the demand branch survives</w:t>
            </w:r>
          </w:p>
        </w:tc>
      </w:tr>
      <w:tr w:rsidR="00C61BF5" w:rsidRPr="008F6480" w14:paraId="6628A8F4" w14:textId="77777777">
        <w:tc>
          <w:tcPr>
            <w:tcW w:w="0" w:type="auto"/>
          </w:tcPr>
          <w:p w14:paraId="05BF0F3D"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Cloud and view-geometry bug, missing-granule audit</w:t>
            </w:r>
          </w:p>
        </w:tc>
        <w:tc>
          <w:tcPr>
            <w:tcW w:w="0" w:type="auto"/>
          </w:tcPr>
          <w:p w14:paraId="0DB83C2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Promote</w:t>
            </w:r>
          </w:p>
        </w:tc>
        <w:tc>
          <w:tcPr>
            <w:tcW w:w="0" w:type="auto"/>
          </w:tcPr>
          <w:p w14:paraId="6FE959D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Preserve as a supplement methods caution. Recheck the 31 historical cases in Collection 3 and recover view azimuth from matching L1B GEO where possible</w:t>
            </w:r>
          </w:p>
        </w:tc>
      </w:tr>
      <w:tr w:rsidR="00C61BF5" w:rsidRPr="008F6480" w14:paraId="1F80E45B" w14:textId="77777777">
        <w:tc>
          <w:tcPr>
            <w:tcW w:w="0" w:type="auto"/>
          </w:tcPr>
          <w:p w14:paraId="40E691A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Pass-equivalent calculation</w:t>
            </w:r>
          </w:p>
        </w:tc>
        <w:tc>
          <w:tcPr>
            <w:tcW w:w="0" w:type="auto"/>
          </w:tcPr>
          <w:p w14:paraId="686E748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Retire as sample size</w:t>
            </w:r>
          </w:p>
        </w:tc>
        <w:tc>
          <w:tcPr>
            <w:tcW w:w="0" w:type="auto"/>
          </w:tcPr>
          <w:p w14:paraId="707A50F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May remain as a descriptive clear-domain exposure diagnostic. It never substitutes for block-pass count or pass-level precision</w:t>
            </w:r>
          </w:p>
        </w:tc>
      </w:tr>
      <w:tr w:rsidR="00C61BF5" w:rsidRPr="008F6480" w14:paraId="34248682" w14:textId="77777777">
        <w:tc>
          <w:tcPr>
            <w:tcW w:w="0" w:type="auto"/>
          </w:tcPr>
          <w:p w14:paraId="2EC53B9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Centred ±15-day NDMI product</w:t>
            </w:r>
          </w:p>
        </w:tc>
        <w:tc>
          <w:tcPr>
            <w:tcW w:w="0" w:type="auto"/>
          </w:tcPr>
          <w:p w14:paraId="5F8CFDF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Narrow reuse</w:t>
            </w:r>
          </w:p>
        </w:tc>
        <w:tc>
          <w:tcPr>
            <w:tcW w:w="0" w:type="auto"/>
          </w:tcPr>
          <w:p w14:paraId="3EF7668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Use only for the no-cost lead-lag feasibility count. Rebuild every final antecedent and future variable from raw HLS with one-sided timing</w:t>
            </w:r>
          </w:p>
        </w:tc>
      </w:tr>
      <w:tr w:rsidR="00C61BF5" w:rsidRPr="008F6480" w14:paraId="17B2F41D" w14:textId="77777777">
        <w:tc>
          <w:tcPr>
            <w:tcW w:w="0" w:type="auto"/>
          </w:tcPr>
          <w:p w14:paraId="7848F7AC"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Phoenix custom EPSG:32612 grid</w:t>
            </w:r>
          </w:p>
        </w:tc>
        <w:tc>
          <w:tcPr>
            <w:tcW w:w="0" w:type="auto"/>
          </w:tcPr>
          <w:p w14:paraId="2252888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Retire</w:t>
            </w:r>
          </w:p>
        </w:tc>
        <w:tc>
          <w:tcPr>
            <w:tcW w:w="0" w:type="auto"/>
          </w:tcPr>
          <w:p w14:paraId="534BA2D7"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Use the native ECOSTRESS MGRS grid. A local projected CRS may still define the 0.5, 1 and 2 km analysis blocks</w:t>
            </w:r>
          </w:p>
        </w:tc>
      </w:tr>
      <w:tr w:rsidR="00C61BF5" w:rsidRPr="008F6480" w14:paraId="7011007C" w14:textId="77777777">
        <w:tc>
          <w:tcPr>
            <w:tcW w:w="0" w:type="auto"/>
          </w:tcPr>
          <w:p w14:paraId="474BC67D"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Paired tree-reference design, CSI, response surfaces, breakpoints</w:t>
            </w:r>
          </w:p>
        </w:tc>
        <w:tc>
          <w:tcPr>
            <w:tcW w:w="0" w:type="auto"/>
          </w:tcPr>
          <w:p w14:paraId="410A8DF7"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Archive</w:t>
            </w:r>
          </w:p>
        </w:tc>
        <w:tc>
          <w:tcPr>
            <w:tcW w:w="0" w:type="auto"/>
          </w:tcPr>
          <w:p w14:paraId="4CF50D6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Keep as design-history evidence. The paired design reduced 112 million valid pixels to roughly 200 pixels in 9 block groups. Do not reuse in the v6.2 outcome model</w:t>
            </w:r>
          </w:p>
        </w:tc>
      </w:tr>
      <w:tr w:rsidR="00C61BF5" w:rsidRPr="008F6480" w14:paraId="6F9B9979" w14:textId="77777777">
        <w:tc>
          <w:tcPr>
            <w:tcW w:w="0" w:type="auto"/>
          </w:tcPr>
          <w:p w14:paraId="574C98D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Previously processed Phoenix LST passes</w:t>
            </w:r>
          </w:p>
        </w:tc>
        <w:tc>
          <w:tcPr>
            <w:tcW w:w="0" w:type="auto"/>
          </w:tcPr>
          <w:p w14:paraId="309083CA"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Reuse for precision only</w:t>
            </w:r>
          </w:p>
        </w:tc>
        <w:tc>
          <w:tcPr>
            <w:tcW w:w="0" w:type="auto"/>
          </w:tcPr>
          <w:p w14:paraId="331CB6B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Rebuild a small native-grid subset for the Stage 1 precision census. Do not reuse old paired summaries or old coefficients</w:t>
            </w:r>
          </w:p>
        </w:tc>
      </w:tr>
      <w:tr w:rsidR="00C61BF5" w:rsidRPr="008F6480" w14:paraId="134C581F" w14:textId="77777777">
        <w:tc>
          <w:tcPr>
            <w:tcW w:w="0" w:type="auto"/>
          </w:tcPr>
          <w:p w14:paraId="3F5B99DD"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lastRenderedPageBreak/>
              <w:t>Block-bootstrap machinery and test suite</w:t>
            </w:r>
          </w:p>
        </w:tc>
        <w:tc>
          <w:tcPr>
            <w:tcW w:w="0" w:type="auto"/>
          </w:tcPr>
          <w:p w14:paraId="382A842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Extend</w:t>
            </w:r>
          </w:p>
        </w:tc>
        <w:tc>
          <w:tcPr>
            <w:tcW w:w="0" w:type="auto"/>
          </w:tcPr>
          <w:p w14:paraId="521BE5D1"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Add within-block spatial resampling and Stage 2 multiway resampling by block, thermal pass and optical acquisition. Add independent known-answer tests</w:t>
            </w:r>
          </w:p>
        </w:tc>
      </w:tr>
      <w:tr w:rsidR="00C61BF5" w:rsidRPr="008F6480" w14:paraId="5A8D9DB5" w14:textId="77777777">
        <w:tc>
          <w:tcPr>
            <w:tcW w:w="0" w:type="auto"/>
          </w:tcPr>
          <w:p w14:paraId="72DD64E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Synthetic downstream outputs</w:t>
            </w:r>
          </w:p>
        </w:tc>
        <w:tc>
          <w:tcPr>
            <w:tcW w:w="0" w:type="auto"/>
          </w:tcPr>
          <w:p w14:paraId="3274718B"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Quarantine</w:t>
            </w:r>
          </w:p>
        </w:tc>
        <w:tc>
          <w:tcPr>
            <w:tcW w:w="0" w:type="auto"/>
          </w:tcPr>
          <w:p w14:paraId="3834BEE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 xml:space="preserve">Move to </w:t>
            </w:r>
            <w:r w:rsidRPr="008F6480">
              <w:rPr>
                <w:rStyle w:val="VerbatimChar"/>
                <w:rFonts w:ascii="Calibri" w:hAnsi="Calibri" w:cs="Calibri"/>
                <w:color w:val="000000" w:themeColor="text1"/>
                <w:szCs w:val="22"/>
              </w:rPr>
              <w:t>tests/fixtures/synthetic_demo</w:t>
            </w:r>
            <w:r w:rsidRPr="008F6480">
              <w:rPr>
                <w:rFonts w:ascii="Calibri" w:hAnsi="Calibri" w:cs="Calibri"/>
                <w:color w:val="000000" w:themeColor="text1"/>
                <w:sz w:val="22"/>
                <w:szCs w:val="22"/>
              </w:rPr>
              <w:t xml:space="preserve">; put </w:t>
            </w:r>
            <w:r w:rsidRPr="008F6480">
              <w:rPr>
                <w:rStyle w:val="VerbatimChar"/>
                <w:rFonts w:ascii="Calibri" w:hAnsi="Calibri" w:cs="Calibri"/>
                <w:color w:val="000000" w:themeColor="text1"/>
                <w:szCs w:val="22"/>
              </w:rPr>
              <w:t>SYNTHETIC_DATA</w:t>
            </w:r>
            <w:r w:rsidRPr="008F6480">
              <w:rPr>
                <w:rFonts w:ascii="Calibri" w:hAnsi="Calibri" w:cs="Calibri"/>
                <w:color w:val="000000" w:themeColor="text1"/>
                <w:sz w:val="22"/>
                <w:szCs w:val="22"/>
              </w:rPr>
              <w:t xml:space="preserve"> in every filename and visible figure label</w:t>
            </w:r>
          </w:p>
        </w:tc>
      </w:tr>
    </w:tbl>
    <w:p w14:paraId="05E7FC27" w14:textId="77777777" w:rsidR="00C61BF5" w:rsidRPr="008F6480" w:rsidRDefault="00000000">
      <w:pPr>
        <w:pStyle w:val="Heading2"/>
        <w:rPr>
          <w:rFonts w:ascii="Calibri" w:hAnsi="Calibri" w:cs="Calibri"/>
          <w:color w:val="000000" w:themeColor="text1"/>
          <w:sz w:val="22"/>
          <w:szCs w:val="22"/>
        </w:rPr>
      </w:pPr>
      <w:bookmarkStart w:id="7" w:name="schedule-and-decision-points"/>
      <w:bookmarkEnd w:id="6"/>
      <w:r w:rsidRPr="008F6480">
        <w:rPr>
          <w:rFonts w:ascii="Calibri" w:hAnsi="Calibri" w:cs="Calibri"/>
          <w:color w:val="000000" w:themeColor="text1"/>
          <w:sz w:val="22"/>
          <w:szCs w:val="22"/>
        </w:rPr>
        <w:t>4. Schedule and decision points</w:t>
      </w:r>
    </w:p>
    <w:tbl>
      <w:tblPr>
        <w:tblStyle w:val="Table"/>
        <w:tblW w:w="5000" w:type="pct"/>
        <w:tblLook w:val="0020" w:firstRow="1" w:lastRow="0" w:firstColumn="0" w:lastColumn="0" w:noHBand="0" w:noVBand="0"/>
      </w:tblPr>
      <w:tblGrid>
        <w:gridCol w:w="1492"/>
        <w:gridCol w:w="1452"/>
        <w:gridCol w:w="4001"/>
        <w:gridCol w:w="2631"/>
      </w:tblGrid>
      <w:tr w:rsidR="00C61BF5" w:rsidRPr="008F6480" w14:paraId="400381C5" w14:textId="77777777" w:rsidTr="00C61BF5">
        <w:trPr>
          <w:cnfStyle w:val="100000000000" w:firstRow="1" w:lastRow="0" w:firstColumn="0" w:lastColumn="0" w:oddVBand="0" w:evenVBand="0" w:oddHBand="0" w:evenHBand="0" w:firstRowFirstColumn="0" w:firstRowLastColumn="0" w:lastRowFirstColumn="0" w:lastRowLastColumn="0"/>
          <w:tblHeader/>
        </w:trPr>
        <w:tc>
          <w:tcPr>
            <w:tcW w:w="0" w:type="auto"/>
          </w:tcPr>
          <w:p w14:paraId="2FC11E0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Phase</w:t>
            </w:r>
          </w:p>
        </w:tc>
        <w:tc>
          <w:tcPr>
            <w:tcW w:w="0" w:type="auto"/>
          </w:tcPr>
          <w:p w14:paraId="1EA93B9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Timing</w:t>
            </w:r>
          </w:p>
        </w:tc>
        <w:tc>
          <w:tcPr>
            <w:tcW w:w="0" w:type="auto"/>
          </w:tcPr>
          <w:p w14:paraId="5D611721"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Main work</w:t>
            </w:r>
          </w:p>
        </w:tc>
        <w:tc>
          <w:tcPr>
            <w:tcW w:w="0" w:type="auto"/>
          </w:tcPr>
          <w:p w14:paraId="70C13B0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Decision</w:t>
            </w:r>
          </w:p>
        </w:tc>
      </w:tr>
      <w:tr w:rsidR="00C61BF5" w:rsidRPr="008F6480" w14:paraId="0A42BCA8" w14:textId="77777777">
        <w:tc>
          <w:tcPr>
            <w:tcW w:w="0" w:type="auto"/>
          </w:tcPr>
          <w:p w14:paraId="61963BC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0. Reconcile and freeze</w:t>
            </w:r>
          </w:p>
        </w:tc>
        <w:tc>
          <w:tcPr>
            <w:tcW w:w="0" w:type="auto"/>
          </w:tcPr>
          <w:p w14:paraId="5B81347D"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First 5 working days</w:t>
            </w:r>
          </w:p>
        </w:tc>
        <w:tc>
          <w:tcPr>
            <w:tcW w:w="0" w:type="auto"/>
          </w:tcPr>
          <w:p w14:paraId="06C77369"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Correct the protocol, audit inherited files, update product years, assign an independent verifier</w:t>
            </w:r>
          </w:p>
        </w:tc>
        <w:tc>
          <w:tcPr>
            <w:tcW w:w="0" w:type="auto"/>
          </w:tcPr>
          <w:p w14:paraId="2CA3280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v6.2 branch and controlling protocol</w:t>
            </w:r>
          </w:p>
        </w:tc>
      </w:tr>
      <w:tr w:rsidR="00C61BF5" w:rsidRPr="008F6480" w14:paraId="77F12FA7" w14:textId="77777777">
        <w:tc>
          <w:tcPr>
            <w:tcW w:w="0" w:type="auto"/>
          </w:tcPr>
          <w:p w14:paraId="3D4C2A09"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 Free checks</w:t>
            </w:r>
          </w:p>
        </w:tc>
        <w:tc>
          <w:tcPr>
            <w:tcW w:w="0" w:type="auto"/>
          </w:tcPr>
          <w:p w14:paraId="2DF56D2B"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Within the same 5 days</w:t>
            </w:r>
          </w:p>
        </w:tc>
        <w:tc>
          <w:tcPr>
            <w:tcW w:w="0" w:type="auto"/>
          </w:tcPr>
          <w:p w14:paraId="3B69D28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Demand support, connectivity, lead-lag feasibility, corrected Stage 1 precision census</w:t>
            </w:r>
          </w:p>
        </w:tc>
        <w:tc>
          <w:tcPr>
            <w:tcW w:w="0" w:type="auto"/>
          </w:tcPr>
          <w:p w14:paraId="65BF537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Drop the demand branch if needed; decide whether Gate A is worth running</w:t>
            </w:r>
          </w:p>
        </w:tc>
      </w:tr>
      <w:tr w:rsidR="00C61BF5" w:rsidRPr="008F6480" w14:paraId="66109E8E" w14:textId="77777777">
        <w:tc>
          <w:tcPr>
            <w:tcW w:w="0" w:type="auto"/>
          </w:tcPr>
          <w:p w14:paraId="7ABE0171"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B. Gate A</w:t>
            </w:r>
          </w:p>
        </w:tc>
        <w:tc>
          <w:tcPr>
            <w:tcW w:w="0" w:type="auto"/>
          </w:tcPr>
          <w:p w14:paraId="664A3BEB"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3–4 weeks, both cities in parallel</w:t>
            </w:r>
          </w:p>
        </w:tc>
        <w:tc>
          <w:tcPr>
            <w:tcW w:w="0" w:type="auto"/>
          </w:tcPr>
          <w:p w14:paraId="48E9878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Native frame, Science TCC, HLS exposures, background stratification, reliability, construct validity, identifying variance, exact simulation</w:t>
            </w:r>
          </w:p>
        </w:tc>
        <w:tc>
          <w:tcPr>
            <w:tcW w:w="0" w:type="auto"/>
          </w:tcPr>
          <w:p w14:paraId="42021C9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Go or stop by city; lead-city ruling; season and background rulings</w:t>
            </w:r>
          </w:p>
        </w:tc>
      </w:tr>
      <w:tr w:rsidR="00C61BF5" w:rsidRPr="008F6480" w14:paraId="60A88E4C" w14:textId="77777777">
        <w:tc>
          <w:tcPr>
            <w:tcW w:w="0" w:type="auto"/>
          </w:tcPr>
          <w:p w14:paraId="269FA087"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 Gate B</w:t>
            </w:r>
          </w:p>
        </w:tc>
        <w:tc>
          <w:tcPr>
            <w:tcW w:w="0" w:type="auto"/>
          </w:tcPr>
          <w:p w14:paraId="54DE26F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2–3 weeks</w:t>
            </w:r>
          </w:p>
        </w:tc>
        <w:tc>
          <w:tcPr>
            <w:tcW w:w="0" w:type="auto"/>
          </w:tcPr>
          <w:p w14:paraId="6988EBD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Effect-blind 15–20-pass thermal precision pilot</w:t>
            </w:r>
          </w:p>
        </w:tc>
        <w:tc>
          <w:tcPr>
            <w:tcW w:w="0" w:type="auto"/>
          </w:tcPr>
          <w:p w14:paraId="44CBFCA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Go or stop on estimability and projected power, never on sign</w:t>
            </w:r>
          </w:p>
        </w:tc>
      </w:tr>
      <w:tr w:rsidR="00C61BF5" w:rsidRPr="008F6480" w14:paraId="577BC029" w14:textId="77777777">
        <w:tc>
          <w:tcPr>
            <w:tcW w:w="0" w:type="auto"/>
          </w:tcPr>
          <w:p w14:paraId="3D67EE9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D. Full analysis</w:t>
            </w:r>
          </w:p>
        </w:tc>
        <w:tc>
          <w:tcPr>
            <w:tcW w:w="0" w:type="auto"/>
          </w:tcPr>
          <w:p w14:paraId="573845A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8–12 weeks</w:t>
            </w:r>
          </w:p>
        </w:tc>
        <w:tc>
          <w:tcPr>
            <w:tcW w:w="0" w:type="auto"/>
          </w:tcPr>
          <w:p w14:paraId="24D43597"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Full LST archive, Stage 1 slopes, Stage 2 model, load-bearing controls</w:t>
            </w:r>
          </w:p>
        </w:tc>
        <w:tc>
          <w:tcPr>
            <w:tcW w:w="0" w:type="auto"/>
          </w:tcPr>
          <w:p w14:paraId="7C189E3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Lead-city result and frozen manuscript story</w:t>
            </w:r>
          </w:p>
        </w:tc>
      </w:tr>
      <w:tr w:rsidR="00C61BF5" w:rsidRPr="008F6480" w14:paraId="51FDD74C" w14:textId="77777777">
        <w:tc>
          <w:tcPr>
            <w:tcW w:w="0" w:type="auto"/>
          </w:tcPr>
          <w:p w14:paraId="4187C6AD"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E. Replication and paper</w:t>
            </w:r>
          </w:p>
        </w:tc>
        <w:tc>
          <w:tcPr>
            <w:tcW w:w="0" w:type="auto"/>
          </w:tcPr>
          <w:p w14:paraId="10DDB64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8–12 weeks</w:t>
            </w:r>
          </w:p>
        </w:tc>
        <w:tc>
          <w:tcPr>
            <w:tcW w:w="0" w:type="auto"/>
          </w:tcPr>
          <w:p w14:paraId="24A5F2E5"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Second city, optional automatic third city, robustness, figures, independent reproduction, writing</w:t>
            </w:r>
          </w:p>
        </w:tc>
        <w:tc>
          <w:tcPr>
            <w:tcW w:w="0" w:type="auto"/>
          </w:tcPr>
          <w:p w14:paraId="0D640AC5"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Submission</w:t>
            </w:r>
          </w:p>
        </w:tc>
      </w:tr>
    </w:tbl>
    <w:p w14:paraId="12394D23" w14:textId="77777777" w:rsidR="00C61BF5" w:rsidRPr="008F6480" w:rsidRDefault="00000000">
      <w:pPr>
        <w:pStyle w:val="BodyText"/>
        <w:rPr>
          <w:rFonts w:ascii="Calibri" w:hAnsi="Calibri" w:cs="Calibri"/>
          <w:color w:val="000000" w:themeColor="text1"/>
          <w:sz w:val="22"/>
          <w:szCs w:val="22"/>
        </w:rPr>
      </w:pPr>
      <w:r w:rsidRPr="008F6480">
        <w:rPr>
          <w:rFonts w:ascii="Calibri" w:hAnsi="Calibri" w:cs="Calibri"/>
          <w:color w:val="000000" w:themeColor="text1"/>
          <w:sz w:val="22"/>
          <w:szCs w:val="22"/>
        </w:rPr>
        <w:t>Intensive best case is roughly five to seven months from this point. A normal pace is seven to nine months. This is not a three-month project; it is a high-risk study with an early stop option.</w:t>
      </w:r>
    </w:p>
    <w:p w14:paraId="3B50F8FA" w14:textId="77777777" w:rsidR="00C61BF5" w:rsidRPr="008F6480" w:rsidRDefault="00000000">
      <w:pPr>
        <w:pStyle w:val="Heading2"/>
        <w:rPr>
          <w:rFonts w:ascii="Calibri" w:hAnsi="Calibri" w:cs="Calibri"/>
          <w:color w:val="000000" w:themeColor="text1"/>
          <w:sz w:val="22"/>
          <w:szCs w:val="22"/>
        </w:rPr>
      </w:pPr>
      <w:bookmarkStart w:id="8" w:name="gate-a-criteria"/>
      <w:bookmarkEnd w:id="7"/>
      <w:r w:rsidRPr="008F6480">
        <w:rPr>
          <w:rFonts w:ascii="Calibri" w:hAnsi="Calibri" w:cs="Calibri"/>
          <w:color w:val="000000" w:themeColor="text1"/>
          <w:sz w:val="22"/>
          <w:szCs w:val="22"/>
        </w:rPr>
        <w:t>5. Gate A criteria</w:t>
      </w:r>
    </w:p>
    <w:p w14:paraId="2C6C70AE" w14:textId="77777777" w:rsidR="00C61BF5" w:rsidRPr="008F6480" w:rsidRDefault="00000000">
      <w:pPr>
        <w:pStyle w:val="FirstParagraph"/>
        <w:rPr>
          <w:rFonts w:ascii="Calibri" w:hAnsi="Calibri" w:cs="Calibri"/>
          <w:color w:val="000000" w:themeColor="text1"/>
          <w:sz w:val="22"/>
          <w:szCs w:val="22"/>
        </w:rPr>
      </w:pPr>
      <w:r w:rsidRPr="008F6480">
        <w:rPr>
          <w:rFonts w:ascii="Calibri" w:hAnsi="Calibri" w:cs="Calibri"/>
          <w:color w:val="000000" w:themeColor="text1"/>
          <w:sz w:val="22"/>
          <w:szCs w:val="22"/>
        </w:rPr>
        <w:t>Gate A is entirely non-thermal and runs on Phoenix and Los Angeles in parallel. Each city passes or fails on its own evidence, and the study continues if at least one city passes.</w:t>
      </w:r>
    </w:p>
    <w:tbl>
      <w:tblPr>
        <w:tblStyle w:val="Table"/>
        <w:tblW w:w="5000" w:type="pct"/>
        <w:tblLook w:val="0020" w:firstRow="1" w:lastRow="0" w:firstColumn="0" w:lastColumn="0" w:noHBand="0" w:noVBand="0"/>
      </w:tblPr>
      <w:tblGrid>
        <w:gridCol w:w="2047"/>
        <w:gridCol w:w="7529"/>
      </w:tblGrid>
      <w:tr w:rsidR="00C61BF5" w:rsidRPr="008F6480" w14:paraId="763FD498" w14:textId="77777777" w:rsidTr="00C61BF5">
        <w:trPr>
          <w:cnfStyle w:val="100000000000" w:firstRow="1" w:lastRow="0" w:firstColumn="0" w:lastColumn="0" w:oddVBand="0" w:evenVBand="0" w:oddHBand="0" w:evenHBand="0" w:firstRowFirstColumn="0" w:firstRowLastColumn="0" w:lastRowFirstColumn="0" w:lastRowLastColumn="0"/>
          <w:tblHeader/>
        </w:trPr>
        <w:tc>
          <w:tcPr>
            <w:tcW w:w="0" w:type="auto"/>
          </w:tcPr>
          <w:p w14:paraId="572B7F3A"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Test</w:t>
            </w:r>
          </w:p>
        </w:tc>
        <w:tc>
          <w:tcPr>
            <w:tcW w:w="0" w:type="auto"/>
          </w:tcPr>
          <w:p w14:paraId="3ABCC0D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Proceed criterion</w:t>
            </w:r>
          </w:p>
        </w:tc>
      </w:tr>
      <w:tr w:rsidR="00C61BF5" w:rsidRPr="008F6480" w14:paraId="14EBE148" w14:textId="77777777">
        <w:tc>
          <w:tcPr>
            <w:tcW w:w="0" w:type="auto"/>
          </w:tcPr>
          <w:p w14:paraId="09CBC42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Antecedent optical availability and age</w:t>
            </w:r>
          </w:p>
        </w:tc>
        <w:tc>
          <w:tcPr>
            <w:tcW w:w="0" w:type="auto"/>
          </w:tcPr>
          <w:p w14:paraId="6930EC7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At least 70% of candidate passes have a valid one-sided HLS observation within 21 days; median and 90th-percentile age reported by city</w:t>
            </w:r>
          </w:p>
        </w:tc>
      </w:tr>
      <w:tr w:rsidR="00C61BF5" w:rsidRPr="008F6480" w14:paraId="59133E10" w14:textId="77777777">
        <w:tc>
          <w:tcPr>
            <w:tcW w:w="0" w:type="auto"/>
          </w:tcPr>
          <w:p w14:paraId="382E310B"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Block support</w:t>
            </w:r>
          </w:p>
        </w:tc>
        <w:tc>
          <w:tcPr>
            <w:tcW w:w="0" w:type="auto"/>
          </w:tcPr>
          <w:p w14:paraId="5F1C3B1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At least 30 usable blocks in most passes, in at least one city</w:t>
            </w:r>
          </w:p>
        </w:tc>
      </w:tr>
      <w:tr w:rsidR="00C61BF5" w:rsidRPr="008F6480" w14:paraId="1C31C0F6" w14:textId="77777777">
        <w:tc>
          <w:tcPr>
            <w:tcW w:w="0" w:type="auto"/>
          </w:tcPr>
          <w:p w14:paraId="5240D6C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Spatial representation</w:t>
            </w:r>
          </w:p>
        </w:tc>
        <w:tc>
          <w:tcPr>
            <w:tcW w:w="0" w:type="auto"/>
          </w:tcPr>
          <w:p w14:paraId="1C7DABBA"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At least three spatial sectors represented, with no single land-use class or block dominating the potential sample</w:t>
            </w:r>
          </w:p>
        </w:tc>
      </w:tr>
      <w:tr w:rsidR="00C61BF5" w:rsidRPr="008F6480" w14:paraId="16756E30" w14:textId="77777777">
        <w:tc>
          <w:tcPr>
            <w:tcW w:w="0" w:type="auto"/>
          </w:tcPr>
          <w:p w14:paraId="3BC44E4C"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Tree-pixel support</w:t>
            </w:r>
          </w:p>
        </w:tc>
        <w:tc>
          <w:tcPr>
            <w:tcW w:w="0" w:type="auto"/>
          </w:tcPr>
          <w:p w14:paraId="74FC8489"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Minimum effective tree-pixel floor per block, set from the empirical noise-</w:t>
            </w:r>
            <w:r w:rsidRPr="008F6480">
              <w:rPr>
                <w:rFonts w:ascii="Calibri" w:hAnsi="Calibri" w:cs="Calibri"/>
                <w:color w:val="000000" w:themeColor="text1"/>
                <w:sz w:val="22"/>
                <w:szCs w:val="22"/>
              </w:rPr>
              <w:lastRenderedPageBreak/>
              <w:t>against-count curve; planning floor of 30</w:t>
            </w:r>
          </w:p>
        </w:tc>
      </w:tr>
      <w:tr w:rsidR="00C61BF5" w:rsidRPr="008F6480" w14:paraId="78FAF40B" w14:textId="77777777">
        <w:tc>
          <w:tcPr>
            <w:tcW w:w="0" w:type="auto"/>
          </w:tcPr>
          <w:p w14:paraId="3210E900"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lastRenderedPageBreak/>
              <w:t>Background-pixel support</w:t>
            </w:r>
          </w:p>
        </w:tc>
        <w:tc>
          <w:tcPr>
            <w:tcW w:w="0" w:type="auto"/>
          </w:tcPr>
          <w:p w14:paraId="4DC77C5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Minimum effective non-tree pixel floor under the same rule; excluded mixed fraction reported</w:t>
            </w:r>
          </w:p>
        </w:tc>
      </w:tr>
      <w:tr w:rsidR="00C61BF5" w:rsidRPr="008F6480" w14:paraId="77DF9A0C" w14:textId="77777777">
        <w:tc>
          <w:tcPr>
            <w:tcW w:w="0" w:type="auto"/>
          </w:tcPr>
          <w:p w14:paraId="4E71384A"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Replicate reliability</w:t>
            </w:r>
          </w:p>
        </w:tc>
        <w:tc>
          <w:tcPr>
            <w:tcW w:w="0" w:type="auto"/>
          </w:tcPr>
          <w:p w14:paraId="6889571B"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Median reliability at least 0.50 for both W_tree and the fixed primary W_bg class. Any fallback derived variable passes separately. Split-half, near-coincident L30/S30 and short-window evidence reported separately rather than combined</w:t>
            </w:r>
          </w:p>
        </w:tc>
      </w:tr>
      <w:tr w:rsidR="00C61BF5" w:rsidRPr="008F6480" w14:paraId="78EF8373" w14:textId="77777777">
        <w:tc>
          <w:tcPr>
            <w:tcW w:w="0" w:type="auto"/>
          </w:tcPr>
          <w:p w14:paraId="5825A62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Exact identifying signal</w:t>
            </w:r>
          </w:p>
        </w:tc>
        <w:tc>
          <w:tcPr>
            <w:tcW w:w="0" w:type="auto"/>
          </w:tcPr>
          <w:p w14:paraId="3763563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Standard deviation, measurement-error share and leverage reported for each identifying component. Power is computed from these. Raw between-block variance is not a proceed criterion</w:t>
            </w:r>
          </w:p>
        </w:tc>
      </w:tr>
      <w:tr w:rsidR="00C61BF5" w:rsidRPr="008F6480" w14:paraId="1A89A40F" w14:textId="77777777">
        <w:tc>
          <w:tcPr>
            <w:tcW w:w="0" w:type="auto"/>
          </w:tcPr>
          <w:p w14:paraId="1792BC3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Tree–background separation</w:t>
            </w:r>
          </w:p>
        </w:tc>
        <w:tc>
          <w:tcPr>
            <w:tcW w:w="0" w:type="auto"/>
          </w:tcPr>
          <w:p w14:paraId="734AE03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Partial correlation, cross-error covariance and variance inflation reported after the frozen nuisance structure. Fallback invoked only if both derived variables pass reliability, identifying-variance, leverage and power criteria</w:t>
            </w:r>
          </w:p>
        </w:tc>
      </w:tr>
      <w:tr w:rsidR="00C61BF5" w:rsidRPr="008F6480" w14:paraId="3204FF30" w14:textId="77777777">
        <w:tc>
          <w:tcPr>
            <w:tcW w:w="0" w:type="auto"/>
          </w:tcPr>
          <w:p w14:paraId="2D679EC1"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Antecedent rainfall audit</w:t>
            </w:r>
          </w:p>
        </w:tc>
        <w:tc>
          <w:tcPr>
            <w:tcW w:w="0" w:type="auto"/>
          </w:tcPr>
          <w:p w14:paraId="7B421AA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Share of candidate passes preceded by measurable block-scale rainfall within 1, 3 and 7 days reported by city and window; season ruling frozen from this table; W_bg is not primarily a rainfall proxy in the chosen window</w:t>
            </w:r>
          </w:p>
        </w:tc>
      </w:tr>
      <w:tr w:rsidR="00C61BF5" w:rsidRPr="008F6480" w14:paraId="2CAD708E" w14:textId="77777777">
        <w:tc>
          <w:tcPr>
            <w:tcW w:w="0" w:type="auto"/>
          </w:tcPr>
          <w:p w14:paraId="04BEA6CA"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Scale and construct audit</w:t>
            </w:r>
          </w:p>
        </w:tc>
        <w:tc>
          <w:tcPr>
            <w:tcW w:w="0" w:type="auto"/>
          </w:tcPr>
          <w:p w14:paraId="2111386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Within- and between-unit variance at block and cell scale; mixture, shadow, canopy amount, sensor, source-date, optical-age and missingness diagnostics; pre-registered scale ruling</w:t>
            </w:r>
          </w:p>
        </w:tc>
      </w:tr>
      <w:tr w:rsidR="00C61BF5" w:rsidRPr="008F6480" w14:paraId="7D2F4E16" w14:textId="77777777">
        <w:tc>
          <w:tcPr>
            <w:tcW w:w="0" w:type="auto"/>
          </w:tcPr>
          <w:p w14:paraId="14C3C6B7"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Incidence connectivity</w:t>
            </w:r>
          </w:p>
        </w:tc>
        <w:tc>
          <w:tcPr>
            <w:tcW w:w="0" w:type="auto"/>
          </w:tcPr>
          <w:p w14:paraId="35AB06C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Largest connected component holds at least 80% of block-passes and median passes per block is at least 8, in at least one city, reported under both season windows and both geometry sets. One pre-authorised widening only; no random-effects rescue</w:t>
            </w:r>
          </w:p>
        </w:tc>
      </w:tr>
      <w:tr w:rsidR="00C61BF5" w:rsidRPr="008F6480" w14:paraId="786A6329" w14:textId="77777777">
        <w:tc>
          <w:tcPr>
            <w:tcW w:w="0" w:type="auto"/>
          </w:tcPr>
          <w:p w14:paraId="1AD3ADBC"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Canopy overlap</w:t>
            </w:r>
          </w:p>
        </w:tc>
        <w:tc>
          <w:tcPr>
            <w:tcW w:w="0" w:type="auto"/>
          </w:tcPr>
          <w:p w14:paraId="45BCD5F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Lower- and upper-condition groups both retain adequate within-block canopy span</w:t>
            </w:r>
          </w:p>
        </w:tc>
      </w:tr>
      <w:tr w:rsidR="00C61BF5" w:rsidRPr="008F6480" w14:paraId="2289CC21" w14:textId="77777777">
        <w:tc>
          <w:tcPr>
            <w:tcW w:w="0" w:type="auto"/>
          </w:tcPr>
          <w:p w14:paraId="246B1FB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Canopy and condition separation</w:t>
            </w:r>
          </w:p>
        </w:tc>
        <w:tc>
          <w:tcPr>
            <w:tcW w:w="0" w:type="auto"/>
          </w:tcPr>
          <w:p w14:paraId="3CABB69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No near-deterministic relation after block, pass, G, timing and quality terms are removed; identifying components retain distributed support without one-block or one-pass leverage</w:t>
            </w:r>
          </w:p>
        </w:tc>
      </w:tr>
      <w:tr w:rsidR="00C61BF5" w:rsidRPr="008F6480" w14:paraId="48F2B707" w14:textId="77777777">
        <w:tc>
          <w:tcPr>
            <w:tcW w:w="0" w:type="auto"/>
          </w:tcPr>
          <w:p w14:paraId="1B68C3B7"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Timing, source and image reuse</w:t>
            </w:r>
          </w:p>
        </w:tc>
        <w:tc>
          <w:tcPr>
            <w:tcW w:w="0" w:type="auto"/>
          </w:tcPr>
          <w:p w14:paraId="1D29000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Neither co-primary variable is primarily a proxy for age, sensor, source date or a reused acquisition. Common-date, source-effect, source-cluster and one-pass-per-acquisition analyses remain viable</w:t>
            </w:r>
          </w:p>
        </w:tc>
      </w:tr>
      <w:tr w:rsidR="00C61BF5" w:rsidRPr="008F6480" w14:paraId="5D484B5D" w14:textId="77777777">
        <w:tc>
          <w:tcPr>
            <w:tcW w:w="0" w:type="auto"/>
          </w:tcPr>
          <w:p w14:paraId="2264610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Detection power</w:t>
            </w:r>
          </w:p>
        </w:tc>
        <w:tc>
          <w:tcPr>
            <w:tcW w:w="0" w:type="auto"/>
          </w:tcPr>
          <w:p w14:paraId="7FEA5EEB"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Type-I error at or below 0.05 and power at or above 0.80 for the expected observed effect, using theta_observed ≈ theta_latent × sqrt(reliability), from a simulation with both condition components, correlated measurement error, the actual graph, spatial thermal error and optical-acquisition reuse</w:t>
            </w:r>
          </w:p>
        </w:tc>
      </w:tr>
      <w:tr w:rsidR="00C61BF5" w:rsidRPr="008F6480" w14:paraId="146AC634" w14:textId="77777777">
        <w:tc>
          <w:tcPr>
            <w:tcW w:w="0" w:type="auto"/>
          </w:tcPr>
          <w:p w14:paraId="39802180"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Equivalence power</w:t>
            </w:r>
          </w:p>
        </w:tc>
        <w:tc>
          <w:tcPr>
            <w:tcW w:w="0" w:type="auto"/>
          </w:tcPr>
          <w:p w14:paraId="039208DD"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Power at or above 0.80 for the two one-sided tests at the observed-scale equivalence bound. Report this separately. A design that fails here can detect an effect but cannot publish a null, and Section 8.5 of the proposal must be cited in the memorandum when that is the case</w:t>
            </w:r>
          </w:p>
        </w:tc>
      </w:tr>
      <w:tr w:rsidR="00C61BF5" w:rsidRPr="008F6480" w14:paraId="00983612" w14:textId="77777777">
        <w:tc>
          <w:tcPr>
            <w:tcW w:w="0" w:type="auto"/>
          </w:tcPr>
          <w:p w14:paraId="5F426A0B"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Lead-city ruling</w:t>
            </w:r>
          </w:p>
        </w:tc>
        <w:tc>
          <w:tcPr>
            <w:tcW w:w="0" w:type="auto"/>
          </w:tcPr>
          <w:p w14:paraId="11EB07D5"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Recorded with the numbers it rests on, before the new coefficient file is opened</w:t>
            </w:r>
          </w:p>
        </w:tc>
      </w:tr>
      <w:tr w:rsidR="00C61BF5" w:rsidRPr="008F6480" w14:paraId="16F14165" w14:textId="77777777">
        <w:tc>
          <w:tcPr>
            <w:tcW w:w="0" w:type="auto"/>
          </w:tcPr>
          <w:p w14:paraId="6A5F132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Construct-validity conclusion</w:t>
            </w:r>
          </w:p>
        </w:tc>
        <w:tc>
          <w:tcPr>
            <w:tcW w:w="0" w:type="auto"/>
          </w:tcPr>
          <w:p w14:paraId="5C6E8500"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Independent non-thermal evidence sought and documented. Without convergent evidence, health, water-status and physiological language remains prohibited for both residuals</w:t>
            </w:r>
          </w:p>
        </w:tc>
      </w:tr>
    </w:tbl>
    <w:p w14:paraId="406684DA" w14:textId="77777777" w:rsidR="00C61BF5" w:rsidRPr="008F6480" w:rsidRDefault="00000000">
      <w:pPr>
        <w:pStyle w:val="BodyText"/>
        <w:rPr>
          <w:rFonts w:ascii="Calibri" w:hAnsi="Calibri" w:cs="Calibri"/>
          <w:color w:val="000000" w:themeColor="text1"/>
          <w:sz w:val="22"/>
          <w:szCs w:val="22"/>
        </w:rPr>
      </w:pPr>
      <w:r w:rsidRPr="008F6480">
        <w:rPr>
          <w:rFonts w:ascii="Calibri" w:hAnsi="Calibri" w:cs="Calibri"/>
          <w:b/>
          <w:bCs/>
          <w:color w:val="000000" w:themeColor="text1"/>
          <w:sz w:val="22"/>
          <w:szCs w:val="22"/>
        </w:rPr>
        <w:lastRenderedPageBreak/>
        <w:t>Lead-city rule.</w:t>
      </w:r>
      <w:r w:rsidRPr="008F6480">
        <w:rPr>
          <w:rFonts w:ascii="Calibri" w:hAnsi="Calibri" w:cs="Calibri"/>
          <w:color w:val="000000" w:themeColor="text1"/>
          <w:sz w:val="22"/>
          <w:szCs w:val="22"/>
        </w:rPr>
        <w:t xml:space="preserve"> Among cities passing every criterion above, the lead city is the one with higher simulated detection power for the frozen two-component estimator. If simulated power differs by less than 0.05, use higher median passes per block inside the largest connected component. If one city passes, it leads.</w:t>
      </w:r>
    </w:p>
    <w:p w14:paraId="38036BC6" w14:textId="77777777" w:rsidR="00C61BF5" w:rsidRPr="008F6480" w:rsidRDefault="00000000">
      <w:pPr>
        <w:pStyle w:val="BodyText"/>
        <w:rPr>
          <w:rFonts w:ascii="Calibri" w:hAnsi="Calibri" w:cs="Calibri"/>
          <w:color w:val="000000" w:themeColor="text1"/>
          <w:sz w:val="22"/>
          <w:szCs w:val="22"/>
        </w:rPr>
      </w:pPr>
      <w:r w:rsidRPr="008F6480">
        <w:rPr>
          <w:rFonts w:ascii="Calibri" w:hAnsi="Calibri" w:cs="Calibri"/>
          <w:b/>
          <w:bCs/>
          <w:color w:val="000000" w:themeColor="text1"/>
          <w:sz w:val="22"/>
          <w:szCs w:val="22"/>
        </w:rPr>
        <w:t>Do not proceed if</w:t>
      </w:r>
      <w:r w:rsidRPr="008F6480">
        <w:rPr>
          <w:rFonts w:ascii="Calibri" w:hAnsi="Calibri" w:cs="Calibri"/>
          <w:color w:val="000000" w:themeColor="text1"/>
          <w:sz w:val="22"/>
          <w:szCs w:val="22"/>
        </w:rPr>
        <w:t xml:space="preserve"> power is computed by treating pixels as independent condition observations, the simulation targets the unattenuated effect, the simulation omits the background component, the lead-city or season ruling is made after seeing a coefficient, or any threshold is weakened after a result is seen.</w:t>
      </w:r>
    </w:p>
    <w:p w14:paraId="764A56D4" w14:textId="77777777" w:rsidR="00C61BF5" w:rsidRPr="008F6480" w:rsidRDefault="00000000">
      <w:pPr>
        <w:pStyle w:val="Heading2"/>
        <w:rPr>
          <w:rFonts w:ascii="Calibri" w:hAnsi="Calibri" w:cs="Calibri"/>
          <w:color w:val="000000" w:themeColor="text1"/>
          <w:sz w:val="22"/>
          <w:szCs w:val="22"/>
        </w:rPr>
      </w:pPr>
      <w:bookmarkStart w:id="9" w:name="gate-b-criteria"/>
      <w:bookmarkEnd w:id="8"/>
      <w:r w:rsidRPr="008F6480">
        <w:rPr>
          <w:rFonts w:ascii="Calibri" w:hAnsi="Calibri" w:cs="Calibri"/>
          <w:color w:val="000000" w:themeColor="text1"/>
          <w:sz w:val="22"/>
          <w:szCs w:val="22"/>
        </w:rPr>
        <w:t>6. Gate B criteria</w:t>
      </w:r>
    </w:p>
    <w:p w14:paraId="1CF2034C" w14:textId="77777777" w:rsidR="00C61BF5" w:rsidRPr="008F6480" w:rsidRDefault="00000000">
      <w:pPr>
        <w:pStyle w:val="FirstParagraph"/>
        <w:rPr>
          <w:rFonts w:ascii="Calibri" w:hAnsi="Calibri" w:cs="Calibri"/>
          <w:color w:val="000000" w:themeColor="text1"/>
          <w:sz w:val="22"/>
          <w:szCs w:val="22"/>
        </w:rPr>
      </w:pPr>
      <w:r w:rsidRPr="008F6480">
        <w:rPr>
          <w:rFonts w:ascii="Calibri" w:hAnsi="Calibri" w:cs="Calibri"/>
          <w:color w:val="000000" w:themeColor="text1"/>
          <w:sz w:val="22"/>
          <w:szCs w:val="22"/>
        </w:rPr>
        <w:t>Freeze the model, the pilot-selection rule, the cell-composition rule, the season, the geometry set and all exclusions first. Select 15 to 20 passes in the lead city using only metadata, condition support, canopy span and geometry.</w:t>
      </w:r>
    </w:p>
    <w:p w14:paraId="0B752CE4" w14:textId="77777777" w:rsidR="00C61BF5" w:rsidRPr="008F6480" w:rsidRDefault="00000000">
      <w:pPr>
        <w:pStyle w:val="BodyText"/>
        <w:rPr>
          <w:rFonts w:ascii="Calibri" w:hAnsi="Calibri" w:cs="Calibri"/>
          <w:color w:val="000000" w:themeColor="text1"/>
          <w:sz w:val="22"/>
          <w:szCs w:val="22"/>
        </w:rPr>
      </w:pPr>
      <w:r w:rsidRPr="008F6480">
        <w:rPr>
          <w:rFonts w:ascii="Calibri" w:hAnsi="Calibri" w:cs="Calibri"/>
          <w:color w:val="000000" w:themeColor="text1"/>
          <w:sz w:val="22"/>
          <w:szCs w:val="22"/>
        </w:rPr>
        <w:t>Proceed only if all of the following hold.</w:t>
      </w:r>
    </w:p>
    <w:p w14:paraId="2947D5BC" w14:textId="77777777" w:rsidR="00C61BF5" w:rsidRPr="008F6480" w:rsidRDefault="00000000">
      <w:pPr>
        <w:pStyle w:val="Compact"/>
        <w:numPr>
          <w:ilvl w:val="0"/>
          <w:numId w:val="3"/>
        </w:numPr>
        <w:rPr>
          <w:rFonts w:ascii="Calibri" w:hAnsi="Calibri" w:cs="Calibri"/>
          <w:color w:val="000000" w:themeColor="text1"/>
          <w:sz w:val="22"/>
          <w:szCs w:val="22"/>
        </w:rPr>
      </w:pPr>
      <w:r w:rsidRPr="008F6480">
        <w:rPr>
          <w:rFonts w:ascii="Calibri" w:hAnsi="Calibri" w:cs="Calibri"/>
          <w:color w:val="000000" w:themeColor="text1"/>
          <w:sz w:val="22"/>
          <w:szCs w:val="22"/>
        </w:rPr>
        <w:t>At least 70% of selected passes yield stable block-pass slopes without one-block leverage, under both the main and the common-cell or reweighted analysis.</w:t>
      </w:r>
    </w:p>
    <w:p w14:paraId="43DF5BE6" w14:textId="77777777" w:rsidR="00C61BF5" w:rsidRPr="008F6480" w:rsidRDefault="00000000">
      <w:pPr>
        <w:pStyle w:val="Compact"/>
        <w:numPr>
          <w:ilvl w:val="0"/>
          <w:numId w:val="3"/>
        </w:numPr>
        <w:rPr>
          <w:rFonts w:ascii="Calibri" w:hAnsi="Calibri" w:cs="Calibri"/>
          <w:color w:val="000000" w:themeColor="text1"/>
          <w:sz w:val="22"/>
          <w:szCs w:val="22"/>
        </w:rPr>
      </w:pPr>
      <w:r w:rsidRPr="008F6480">
        <w:rPr>
          <w:rFonts w:ascii="Calibri" w:hAnsi="Calibri" w:cs="Calibri"/>
          <w:color w:val="000000" w:themeColor="text1"/>
          <w:sz w:val="22"/>
          <w:szCs w:val="22"/>
        </w:rPr>
        <w:t>The observed Stage 1 standard error distribution is consistent with the planning value. If the observed median exceeds the planning value by more than 25%, recompute the required block-pass count and re-check it against the available connected count before proceeding.</w:t>
      </w:r>
    </w:p>
    <w:p w14:paraId="6AD54EC9" w14:textId="77777777" w:rsidR="00C61BF5" w:rsidRPr="008F6480" w:rsidRDefault="00000000">
      <w:pPr>
        <w:pStyle w:val="Compact"/>
        <w:numPr>
          <w:ilvl w:val="0"/>
          <w:numId w:val="3"/>
        </w:numPr>
        <w:rPr>
          <w:rFonts w:ascii="Calibri" w:hAnsi="Calibri" w:cs="Calibri"/>
          <w:color w:val="000000" w:themeColor="text1"/>
          <w:sz w:val="22"/>
          <w:szCs w:val="22"/>
        </w:rPr>
      </w:pPr>
      <w:r w:rsidRPr="008F6480">
        <w:rPr>
          <w:rFonts w:ascii="Calibri" w:hAnsi="Calibri" w:cs="Calibri"/>
          <w:color w:val="000000" w:themeColor="text1"/>
          <w:sz w:val="22"/>
          <w:szCs w:val="22"/>
        </w:rPr>
        <w:t>Observed slope uncertainty still yields at least 0.80 projected power for the expected observed effect.</w:t>
      </w:r>
    </w:p>
    <w:p w14:paraId="143C52C2" w14:textId="77777777" w:rsidR="00C61BF5" w:rsidRPr="008F6480" w:rsidRDefault="00000000">
      <w:pPr>
        <w:pStyle w:val="Compact"/>
        <w:numPr>
          <w:ilvl w:val="0"/>
          <w:numId w:val="3"/>
        </w:numPr>
        <w:rPr>
          <w:rFonts w:ascii="Calibri" w:hAnsi="Calibri" w:cs="Calibri"/>
          <w:color w:val="000000" w:themeColor="text1"/>
          <w:sz w:val="22"/>
          <w:szCs w:val="22"/>
        </w:rPr>
      </w:pPr>
      <w:r w:rsidRPr="008F6480">
        <w:rPr>
          <w:rFonts w:ascii="Calibri" w:hAnsi="Calibri" w:cs="Calibri"/>
          <w:color w:val="000000" w:themeColor="text1"/>
          <w:sz w:val="22"/>
          <w:szCs w:val="22"/>
        </w:rPr>
        <w:t>No small group of blocks, passes or optical acquisitions controls the estimates, and neither condition variable primarily predicts Stage 1 standard error or slope acceptance.</w:t>
      </w:r>
    </w:p>
    <w:p w14:paraId="693F98F1" w14:textId="77777777" w:rsidR="00C61BF5" w:rsidRPr="008F6480" w:rsidRDefault="00000000">
      <w:pPr>
        <w:pStyle w:val="Compact"/>
        <w:numPr>
          <w:ilvl w:val="0"/>
          <w:numId w:val="3"/>
        </w:numPr>
        <w:rPr>
          <w:rFonts w:ascii="Calibri" w:hAnsi="Calibri" w:cs="Calibri"/>
          <w:color w:val="000000" w:themeColor="text1"/>
          <w:sz w:val="22"/>
          <w:szCs w:val="22"/>
        </w:rPr>
      </w:pPr>
      <w:r w:rsidRPr="008F6480">
        <w:rPr>
          <w:rFonts w:ascii="Calibri" w:hAnsi="Calibri" w:cs="Calibri"/>
          <w:color w:val="000000" w:themeColor="text1"/>
          <w:sz w:val="22"/>
          <w:szCs w:val="22"/>
        </w:rPr>
        <w:t>Registration shifts of ±1 cell do not destroy estimability.</w:t>
      </w:r>
    </w:p>
    <w:p w14:paraId="47DB45CB" w14:textId="77777777" w:rsidR="00C61BF5" w:rsidRPr="008F6480" w:rsidRDefault="00000000">
      <w:pPr>
        <w:pStyle w:val="Compact"/>
        <w:numPr>
          <w:ilvl w:val="0"/>
          <w:numId w:val="3"/>
        </w:numPr>
        <w:rPr>
          <w:rFonts w:ascii="Calibri" w:hAnsi="Calibri" w:cs="Calibri"/>
          <w:color w:val="000000" w:themeColor="text1"/>
          <w:sz w:val="22"/>
          <w:szCs w:val="22"/>
        </w:rPr>
      </w:pPr>
      <w:r w:rsidRPr="008F6480">
        <w:rPr>
          <w:rFonts w:ascii="Calibri" w:hAnsi="Calibri" w:cs="Calibri"/>
          <w:color w:val="000000" w:themeColor="text1"/>
          <w:sz w:val="22"/>
          <w:szCs w:val="22"/>
        </w:rPr>
        <w:t>Background classes remain compositionally stable.</w:t>
      </w:r>
    </w:p>
    <w:p w14:paraId="42115A55" w14:textId="77777777" w:rsidR="00C61BF5" w:rsidRPr="008F6480" w:rsidRDefault="00000000">
      <w:pPr>
        <w:pStyle w:val="Compact"/>
        <w:numPr>
          <w:ilvl w:val="0"/>
          <w:numId w:val="3"/>
        </w:numPr>
        <w:rPr>
          <w:rFonts w:ascii="Calibri" w:hAnsi="Calibri" w:cs="Calibri"/>
          <w:color w:val="000000" w:themeColor="text1"/>
          <w:sz w:val="22"/>
          <w:szCs w:val="22"/>
        </w:rPr>
      </w:pPr>
      <w:r w:rsidRPr="008F6480">
        <w:rPr>
          <w:rFonts w:ascii="Calibri" w:hAnsi="Calibri" w:cs="Calibri"/>
          <w:color w:val="000000" w:themeColor="text1"/>
          <w:sz w:val="22"/>
          <w:szCs w:val="22"/>
        </w:rPr>
        <w:t>Processing time extrapolates to the full two-city archive within the scheduled window.</w:t>
      </w:r>
    </w:p>
    <w:p w14:paraId="2EC343B3" w14:textId="77777777" w:rsidR="00C61BF5" w:rsidRPr="008F6480" w:rsidRDefault="00000000">
      <w:pPr>
        <w:pStyle w:val="FirstParagraph"/>
        <w:rPr>
          <w:rFonts w:ascii="Calibri" w:hAnsi="Calibri" w:cs="Calibri"/>
          <w:color w:val="000000" w:themeColor="text1"/>
          <w:sz w:val="22"/>
          <w:szCs w:val="22"/>
        </w:rPr>
      </w:pPr>
      <w:r w:rsidRPr="008F6480">
        <w:rPr>
          <w:rFonts w:ascii="Calibri" w:hAnsi="Calibri" w:cs="Calibri"/>
          <w:color w:val="000000" w:themeColor="text1"/>
          <w:sz w:val="22"/>
          <w:szCs w:val="22"/>
        </w:rPr>
        <w:t>There is no expected-sign requirement. Cooling, neutral and warming slopes are all admissible.</w:t>
      </w:r>
    </w:p>
    <w:p w14:paraId="1408F52F" w14:textId="77777777" w:rsidR="00C61BF5" w:rsidRPr="008F6480" w:rsidRDefault="00000000">
      <w:pPr>
        <w:pStyle w:val="BodyText"/>
        <w:rPr>
          <w:rFonts w:ascii="Calibri" w:hAnsi="Calibri" w:cs="Calibri"/>
          <w:color w:val="000000" w:themeColor="text1"/>
          <w:sz w:val="22"/>
          <w:szCs w:val="22"/>
        </w:rPr>
      </w:pPr>
      <w:r w:rsidRPr="008F6480">
        <w:rPr>
          <w:rFonts w:ascii="Calibri" w:hAnsi="Calibri" w:cs="Calibri"/>
          <w:b/>
          <w:bCs/>
          <w:color w:val="000000" w:themeColor="text1"/>
          <w:sz w:val="22"/>
          <w:szCs w:val="22"/>
        </w:rPr>
        <w:t>The output harness, about ten lines of code.</w:t>
      </w:r>
      <w:r w:rsidRPr="008F6480">
        <w:rPr>
          <w:rFonts w:ascii="Calibri" w:hAnsi="Calibri" w:cs="Calibri"/>
          <w:color w:val="000000" w:themeColor="text1"/>
          <w:sz w:val="22"/>
          <w:szCs w:val="22"/>
        </w:rPr>
        <w:t xml:space="preserve"> The Gate B script writes standard errors, convergence status, leverage diagnostics and residual spatial autocorrelation to an open precision file, and every point estimate to a sealed file that nobody opens until the model is frozen and the decision is recorded. Fitting a model puts the coefficient on screen and it cannot be unseen. Without this harness the effect-blind audit trail is incomplete.</w:t>
      </w:r>
    </w:p>
    <w:p w14:paraId="36B2C6AB" w14:textId="77777777" w:rsidR="00C61BF5" w:rsidRPr="008F6480" w:rsidRDefault="00000000">
      <w:pPr>
        <w:pStyle w:val="BodyText"/>
        <w:rPr>
          <w:rFonts w:ascii="Calibri" w:hAnsi="Calibri" w:cs="Calibri"/>
          <w:color w:val="000000" w:themeColor="text1"/>
          <w:sz w:val="22"/>
          <w:szCs w:val="22"/>
        </w:rPr>
      </w:pPr>
      <w:r w:rsidRPr="008F6480">
        <w:rPr>
          <w:rFonts w:ascii="Calibri" w:hAnsi="Calibri" w:cs="Calibri"/>
          <w:b/>
          <w:bCs/>
          <w:color w:val="000000" w:themeColor="text1"/>
          <w:sz w:val="22"/>
          <w:szCs w:val="22"/>
        </w:rPr>
        <w:t>Do not proceed if</w:t>
      </w:r>
      <w:r w:rsidRPr="008F6480">
        <w:rPr>
          <w:rFonts w:ascii="Calibri" w:hAnsi="Calibri" w:cs="Calibri"/>
          <w:color w:val="000000" w:themeColor="text1"/>
          <w:sz w:val="22"/>
          <w:szCs w:val="22"/>
        </w:rPr>
        <w:t xml:space="preserve"> any criterion is renegotiated after the sealed file is opened, or the pilot passes are reselected after seeing precision results.</w:t>
      </w:r>
    </w:p>
    <w:p w14:paraId="037C699D" w14:textId="77777777" w:rsidR="00C61BF5" w:rsidRPr="008F6480" w:rsidRDefault="00000000">
      <w:pPr>
        <w:pStyle w:val="Heading2"/>
        <w:rPr>
          <w:rFonts w:ascii="Calibri" w:hAnsi="Calibri" w:cs="Calibri"/>
          <w:color w:val="000000" w:themeColor="text1"/>
          <w:sz w:val="22"/>
          <w:szCs w:val="22"/>
        </w:rPr>
      </w:pPr>
      <w:bookmarkStart w:id="10" w:name="load-bearing-controls"/>
      <w:bookmarkEnd w:id="9"/>
      <w:r w:rsidRPr="008F6480">
        <w:rPr>
          <w:rFonts w:ascii="Calibri" w:hAnsi="Calibri" w:cs="Calibri"/>
          <w:color w:val="000000" w:themeColor="text1"/>
          <w:sz w:val="22"/>
          <w:szCs w:val="22"/>
        </w:rPr>
        <w:t>7. Load-bearing controls</w:t>
      </w:r>
    </w:p>
    <w:p w14:paraId="56EC5731" w14:textId="77777777" w:rsidR="00C61BF5" w:rsidRPr="008F6480" w:rsidRDefault="00000000">
      <w:pPr>
        <w:pStyle w:val="FirstParagraph"/>
        <w:rPr>
          <w:rFonts w:ascii="Calibri" w:hAnsi="Calibri" w:cs="Calibri"/>
          <w:color w:val="000000" w:themeColor="text1"/>
          <w:sz w:val="22"/>
          <w:szCs w:val="22"/>
        </w:rPr>
      </w:pPr>
      <w:r w:rsidRPr="008F6480">
        <w:rPr>
          <w:rFonts w:ascii="Calibri" w:hAnsi="Calibri" w:cs="Calibri"/>
          <w:color w:val="000000" w:themeColor="text1"/>
          <w:sz w:val="22"/>
          <w:szCs w:val="22"/>
        </w:rPr>
        <w:t>These eight checks carry claim validity. A failure narrows or withdraws the corresponding claim and cannot be outweighed by any number of benign descriptive sensitivities. Do not compute a proportion-survived score.</w:t>
      </w:r>
    </w:p>
    <w:tbl>
      <w:tblPr>
        <w:tblStyle w:val="Table"/>
        <w:tblW w:w="5000" w:type="pct"/>
        <w:tblLook w:val="0020" w:firstRow="1" w:lastRow="0" w:firstColumn="0" w:lastColumn="0" w:noHBand="0" w:noVBand="0"/>
      </w:tblPr>
      <w:tblGrid>
        <w:gridCol w:w="1916"/>
        <w:gridCol w:w="4256"/>
        <w:gridCol w:w="3404"/>
      </w:tblGrid>
      <w:tr w:rsidR="00C61BF5" w:rsidRPr="008F6480" w14:paraId="4BDE9BB0" w14:textId="77777777" w:rsidTr="00C61BF5">
        <w:trPr>
          <w:cnfStyle w:val="100000000000" w:firstRow="1" w:lastRow="0" w:firstColumn="0" w:lastColumn="0" w:oddVBand="0" w:evenVBand="0" w:oddHBand="0" w:evenHBand="0" w:firstRowFirstColumn="0" w:firstRowLastColumn="0" w:lastRowFirstColumn="0" w:lastRowLastColumn="0"/>
          <w:tblHeader/>
        </w:trPr>
        <w:tc>
          <w:tcPr>
            <w:tcW w:w="0" w:type="auto"/>
          </w:tcPr>
          <w:p w14:paraId="43D9E49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Load-bearing check</w:t>
            </w:r>
          </w:p>
        </w:tc>
        <w:tc>
          <w:tcPr>
            <w:tcW w:w="0" w:type="auto"/>
          </w:tcPr>
          <w:p w14:paraId="192457D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Required analysis</w:t>
            </w:r>
          </w:p>
        </w:tc>
        <w:tc>
          <w:tcPr>
            <w:tcW w:w="0" w:type="auto"/>
          </w:tcPr>
          <w:p w14:paraId="224BAAA7"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Failure consequence</w:t>
            </w:r>
          </w:p>
        </w:tc>
      </w:tr>
      <w:tr w:rsidR="00C61BF5" w:rsidRPr="008F6480" w14:paraId="0A8CBA41" w14:textId="77777777">
        <w:tc>
          <w:tcPr>
            <w:tcW w:w="0" w:type="auto"/>
          </w:tcPr>
          <w:p w14:paraId="360792AB"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 xml:space="preserve">Temporal </w:t>
            </w:r>
            <w:r w:rsidRPr="008F6480">
              <w:rPr>
                <w:rFonts w:ascii="Calibri" w:hAnsi="Calibri" w:cs="Calibri"/>
                <w:color w:val="000000" w:themeColor="text1"/>
                <w:sz w:val="22"/>
                <w:szCs w:val="22"/>
              </w:rPr>
              <w:lastRenderedPageBreak/>
              <w:t>specificity</w:t>
            </w:r>
          </w:p>
        </w:tc>
        <w:tc>
          <w:tcPr>
            <w:tcW w:w="0" w:type="auto"/>
          </w:tcPr>
          <w:p w14:paraId="5B927AE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lastRenderedPageBreak/>
              <w:t>Separate raw-HLS antecedent and matched-</w:t>
            </w:r>
            <w:r w:rsidRPr="008F6480">
              <w:rPr>
                <w:rFonts w:ascii="Calibri" w:hAnsi="Calibri" w:cs="Calibri"/>
                <w:color w:val="000000" w:themeColor="text1"/>
                <w:sz w:val="22"/>
                <w:szCs w:val="22"/>
              </w:rPr>
              <w:lastRenderedPageBreak/>
              <w:t>lag future W for tree and background; joint model</w:t>
            </w:r>
          </w:p>
        </w:tc>
        <w:tc>
          <w:tcPr>
            <w:tcW w:w="0" w:type="auto"/>
          </w:tcPr>
          <w:p w14:paraId="1D8175B1"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lastRenderedPageBreak/>
              <w:t xml:space="preserve">Symmetry removes the antecedent </w:t>
            </w:r>
            <w:r w:rsidRPr="008F6480">
              <w:rPr>
                <w:rFonts w:ascii="Calibri" w:hAnsi="Calibri" w:cs="Calibri"/>
                <w:color w:val="000000" w:themeColor="text1"/>
                <w:sz w:val="22"/>
                <w:szCs w:val="22"/>
              </w:rPr>
              <w:lastRenderedPageBreak/>
              <w:t>and temporal-specificity claims</w:t>
            </w:r>
          </w:p>
        </w:tc>
      </w:tr>
      <w:tr w:rsidR="00C61BF5" w:rsidRPr="008F6480" w14:paraId="1258F895" w14:textId="77777777">
        <w:tc>
          <w:tcPr>
            <w:tcW w:w="0" w:type="auto"/>
          </w:tcPr>
          <w:p w14:paraId="53D216D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lastRenderedPageBreak/>
              <w:t>Background definition</w:t>
            </w:r>
          </w:p>
        </w:tc>
        <w:tc>
          <w:tcPr>
            <w:tcW w:w="0" w:type="auto"/>
          </w:tcPr>
          <w:p w14:paraId="3DC438E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Pervious and low-vegetation background against impervious and bare placebo; fixed composition</w:t>
            </w:r>
          </w:p>
        </w:tc>
        <w:tc>
          <w:tcPr>
            <w:tcW w:w="0" w:type="auto"/>
          </w:tcPr>
          <w:p w14:paraId="2BC7281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 class-dependent reversal prevents a single W_bg interpretation</w:t>
            </w:r>
          </w:p>
        </w:tc>
      </w:tr>
      <w:tr w:rsidR="00C61BF5" w:rsidRPr="008F6480" w14:paraId="2BC8DAFE" w14:textId="77777777">
        <w:tc>
          <w:tcPr>
            <w:tcW w:w="0" w:type="auto"/>
          </w:tcPr>
          <w:p w14:paraId="7A452EE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Cell composition</w:t>
            </w:r>
          </w:p>
        </w:tc>
        <w:tc>
          <w:tcPr>
            <w:tcW w:w="0" w:type="auto"/>
          </w:tcPr>
          <w:p w14:paraId="4B24B499"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Common-cell and reweighted analyses; test condition against span, count, composition, standard error and acceptance</w:t>
            </w:r>
          </w:p>
        </w:tc>
        <w:tc>
          <w:tcPr>
            <w:tcW w:w="0" w:type="auto"/>
          </w:tcPr>
          <w:p w14:paraId="5A312E4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 composition-driven result is not a condition association</w:t>
            </w:r>
          </w:p>
        </w:tc>
      </w:tr>
      <w:tr w:rsidR="00C61BF5" w:rsidRPr="008F6480" w14:paraId="275A6670" w14:textId="77777777">
        <w:tc>
          <w:tcPr>
            <w:tcW w:w="0" w:type="auto"/>
          </w:tcPr>
          <w:p w14:paraId="5386188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Source date and image reuse</w:t>
            </w:r>
          </w:p>
        </w:tc>
        <w:tc>
          <w:tcPr>
            <w:tcW w:w="0" w:type="auto"/>
          </w:tcPr>
          <w:p w14:paraId="5A675C6A"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Common-acquisition subset, matched-age subset, source-date effects, optical-acquisition clustering</w:t>
            </w:r>
          </w:p>
        </w:tc>
        <w:tc>
          <w:tcPr>
            <w:tcW w:w="0" w:type="auto"/>
          </w:tcPr>
          <w:p w14:paraId="4A512DE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Source-image dominance narrows or invalidates inference</w:t>
            </w:r>
          </w:p>
        </w:tc>
      </w:tr>
      <w:tr w:rsidR="00C61BF5" w:rsidRPr="008F6480" w14:paraId="372D027A" w14:textId="77777777">
        <w:tc>
          <w:tcPr>
            <w:tcW w:w="0" w:type="auto"/>
          </w:tcPr>
          <w:p w14:paraId="52188BA9"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Registration</w:t>
            </w:r>
          </w:p>
        </w:tc>
        <w:tc>
          <w:tcPr>
            <w:tcW w:w="0" w:type="auto"/>
          </w:tcPr>
          <w:p w14:paraId="12B2BC59"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±1 native ECOSTRESS-cell shifts for canopy and condition layers</w:t>
            </w:r>
          </w:p>
        </w:tc>
        <w:tc>
          <w:tcPr>
            <w:tcW w:w="0" w:type="auto"/>
          </w:tcPr>
          <w:p w14:paraId="6DF04FA9"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Large sign or magnitude changes indicate geolocation dependence</w:t>
            </w:r>
          </w:p>
        </w:tc>
      </w:tr>
      <w:tr w:rsidR="00C61BF5" w:rsidRPr="008F6480" w14:paraId="54CFFB50" w14:textId="77777777">
        <w:tc>
          <w:tcPr>
            <w:tcW w:w="0" w:type="auto"/>
          </w:tcPr>
          <w:p w14:paraId="54C4D45E"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Geometry</w:t>
            </w:r>
          </w:p>
        </w:tc>
        <w:tc>
          <w:tcPr>
            <w:tcW w:w="0" w:type="auto"/>
          </w:tcPr>
          <w:p w14:paraId="1E13F005"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15-degree primary and 25-degree azimuth-complete sensitivity; relative sun–sensor azimuth</w:t>
            </w:r>
          </w:p>
        </w:tc>
        <w:tc>
          <w:tcPr>
            <w:tcW w:w="0" w:type="auto"/>
          </w:tcPr>
          <w:p w14:paraId="7DEBA96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 geometry-dependent result is reported as fragile or invalid</w:t>
            </w:r>
          </w:p>
        </w:tc>
      </w:tr>
      <w:tr w:rsidR="00C61BF5" w:rsidRPr="008F6480" w14:paraId="3528A3C4" w14:textId="77777777">
        <w:tc>
          <w:tcPr>
            <w:tcW w:w="0" w:type="auto"/>
          </w:tcPr>
          <w:p w14:paraId="49E90CCB"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Rainfall and season</w:t>
            </w:r>
          </w:p>
        </w:tc>
        <w:tc>
          <w:tcPr>
            <w:tcW w:w="0" w:type="auto"/>
          </w:tcPr>
          <w:p w14:paraId="0C9CB4B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Restricted primary window, extended window with 1, 3 and 7 day rainfall, rainfall-free-block subset</w:t>
            </w:r>
          </w:p>
        </w:tc>
        <w:tc>
          <w:tcPr>
            <w:tcW w:w="0" w:type="auto"/>
          </w:tcPr>
          <w:p w14:paraId="72CCC82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 result appearing only in the extended window is confounded with localised wetting</w:t>
            </w:r>
          </w:p>
        </w:tc>
      </w:tr>
      <w:tr w:rsidR="00C61BF5" w:rsidRPr="008F6480" w14:paraId="3F021748" w14:textId="77777777">
        <w:tc>
          <w:tcPr>
            <w:tcW w:w="0" w:type="auto"/>
          </w:tcPr>
          <w:p w14:paraId="731F773C"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Independent reconstruction</w:t>
            </w:r>
          </w:p>
        </w:tc>
        <w:tc>
          <w:tcPr>
            <w:tcW w:w="0" w:type="auto"/>
          </w:tcPr>
          <w:p w14:paraId="192E1B41"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 second person reproduces one headline estimate from the frozen table using a short independent script</w:t>
            </w:r>
          </w:p>
        </w:tc>
        <w:tc>
          <w:tcPr>
            <w:tcW w:w="0" w:type="auto"/>
          </w:tcPr>
          <w:p w14:paraId="18D85A0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No submission until reproduced</w:t>
            </w:r>
          </w:p>
        </w:tc>
      </w:tr>
    </w:tbl>
    <w:p w14:paraId="4E43F81A" w14:textId="77777777" w:rsidR="00C61BF5" w:rsidRPr="008F6480" w:rsidRDefault="00000000">
      <w:pPr>
        <w:pStyle w:val="BodyText"/>
        <w:rPr>
          <w:rFonts w:ascii="Calibri" w:hAnsi="Calibri" w:cs="Calibri"/>
          <w:color w:val="000000" w:themeColor="text1"/>
          <w:sz w:val="22"/>
          <w:szCs w:val="22"/>
        </w:rPr>
      </w:pPr>
      <w:r w:rsidRPr="008F6480">
        <w:rPr>
          <w:rFonts w:ascii="Calibri" w:hAnsi="Calibri" w:cs="Calibri"/>
          <w:color w:val="000000" w:themeColor="text1"/>
          <w:sz w:val="22"/>
          <w:szCs w:val="22"/>
        </w:rPr>
        <w:t>Descriptive sensitivities include 0.5, 1 and 2 km blocks, Tasseled Cap against residual construction, 14, 21 and 28 day optical windows, Sentinel-only against full HLS, fixed against year-matched canopy, weighted against unweighted, and two-stage against one-stage models. Do not average these with load-bearing checks.</w:t>
      </w:r>
    </w:p>
    <w:p w14:paraId="2091DA35" w14:textId="77777777" w:rsidR="00C61BF5" w:rsidRPr="008F6480" w:rsidRDefault="00000000">
      <w:pPr>
        <w:pStyle w:val="BodyText"/>
        <w:rPr>
          <w:rFonts w:ascii="Calibri" w:hAnsi="Calibri" w:cs="Calibri"/>
          <w:color w:val="000000" w:themeColor="text1"/>
          <w:sz w:val="22"/>
          <w:szCs w:val="22"/>
        </w:rPr>
      </w:pPr>
      <w:r w:rsidRPr="008F6480">
        <w:rPr>
          <w:rFonts w:ascii="Calibri" w:hAnsi="Calibri" w:cs="Calibri"/>
          <w:color w:val="000000" w:themeColor="text1"/>
          <w:sz w:val="22"/>
          <w:szCs w:val="22"/>
        </w:rPr>
        <w:t>A limited night analysis is optional. Fit it with its own baseline and include tree and background terms together. Attenuation is consistent with a daylight energy-flux pathway; similar or reversed night effects keep structure, heat storage and longwave explanations live. Night is not a transpiration on-off switch, since nighttime transpiration is commonly a modest fraction of daytime rates.</w:t>
      </w:r>
    </w:p>
    <w:p w14:paraId="166CF827" w14:textId="77777777" w:rsidR="00C61BF5" w:rsidRPr="008F6480" w:rsidRDefault="00000000">
      <w:pPr>
        <w:pStyle w:val="Heading2"/>
        <w:rPr>
          <w:rFonts w:ascii="Calibri" w:hAnsi="Calibri" w:cs="Calibri"/>
          <w:color w:val="000000" w:themeColor="text1"/>
          <w:sz w:val="22"/>
          <w:szCs w:val="22"/>
        </w:rPr>
      </w:pPr>
      <w:bookmarkStart w:id="11" w:name="claim-rules"/>
      <w:bookmarkEnd w:id="10"/>
      <w:r w:rsidRPr="008F6480">
        <w:rPr>
          <w:rFonts w:ascii="Calibri" w:hAnsi="Calibri" w:cs="Calibri"/>
          <w:color w:val="000000" w:themeColor="text1"/>
          <w:sz w:val="22"/>
          <w:szCs w:val="22"/>
        </w:rPr>
        <w:t>8. Claim rules</w:t>
      </w:r>
    </w:p>
    <w:p w14:paraId="6D789BEC" w14:textId="77777777" w:rsidR="00C61BF5" w:rsidRPr="008F6480" w:rsidRDefault="00000000">
      <w:pPr>
        <w:pStyle w:val="Compact"/>
        <w:numPr>
          <w:ilvl w:val="0"/>
          <w:numId w:val="4"/>
        </w:numPr>
        <w:rPr>
          <w:rFonts w:ascii="Calibri" w:hAnsi="Calibri" w:cs="Calibri"/>
          <w:color w:val="000000" w:themeColor="text1"/>
          <w:sz w:val="22"/>
          <w:szCs w:val="22"/>
        </w:rPr>
      </w:pPr>
      <w:r w:rsidRPr="008F6480">
        <w:rPr>
          <w:rFonts w:ascii="Calibri" w:hAnsi="Calibri" w:cs="Calibri"/>
          <w:color w:val="000000" w:themeColor="text1"/>
          <w:sz w:val="22"/>
          <w:szCs w:val="22"/>
        </w:rPr>
        <w:t>Use: antecedent SWIR-sensitive optical condition anomaly; canopy-associated surface-cooling gradient; within-city association; consistent with a canopy-side contribution.</w:t>
      </w:r>
    </w:p>
    <w:p w14:paraId="4702AFEF" w14:textId="77777777" w:rsidR="00C61BF5" w:rsidRPr="008F6480" w:rsidRDefault="00000000">
      <w:pPr>
        <w:pStyle w:val="Compact"/>
        <w:numPr>
          <w:ilvl w:val="0"/>
          <w:numId w:val="4"/>
        </w:numPr>
        <w:rPr>
          <w:rFonts w:ascii="Calibri" w:hAnsi="Calibri" w:cs="Calibri"/>
          <w:color w:val="000000" w:themeColor="text1"/>
          <w:sz w:val="22"/>
          <w:szCs w:val="22"/>
        </w:rPr>
      </w:pPr>
      <w:r w:rsidRPr="008F6480">
        <w:rPr>
          <w:rFonts w:ascii="Calibri" w:hAnsi="Calibri" w:cs="Calibri"/>
          <w:color w:val="000000" w:themeColor="text1"/>
          <w:sz w:val="22"/>
          <w:szCs w:val="22"/>
        </w:rPr>
        <w:t>Do not use: moisture status, leaf water content, tree health, physiological stress, stomatal closure, transpiration failure, air-temperature cooling, thermal comfort, or causal intervention effects, without independent evidence.</w:t>
      </w:r>
    </w:p>
    <w:p w14:paraId="4D243FC3" w14:textId="77777777" w:rsidR="00C61BF5" w:rsidRPr="008F6480" w:rsidRDefault="00000000">
      <w:pPr>
        <w:pStyle w:val="Compact"/>
        <w:numPr>
          <w:ilvl w:val="0"/>
          <w:numId w:val="4"/>
        </w:numPr>
        <w:rPr>
          <w:rFonts w:ascii="Calibri" w:hAnsi="Calibri" w:cs="Calibri"/>
          <w:color w:val="000000" w:themeColor="text1"/>
          <w:sz w:val="22"/>
          <w:szCs w:val="22"/>
        </w:rPr>
      </w:pPr>
      <w:r w:rsidRPr="008F6480">
        <w:rPr>
          <w:rFonts w:ascii="Calibri" w:hAnsi="Calibri" w:cs="Calibri"/>
          <w:color w:val="000000" w:themeColor="text1"/>
          <w:sz w:val="22"/>
          <w:szCs w:val="22"/>
        </w:rPr>
        <w:t>The single confirmatory statement is the joint test of the pre-registered sign pattern in θ_wt and θ_wb. Individual coefficients are reported with intervals and read descriptively. Everything else is a sensitivity and carries no confirmatory claim.</w:t>
      </w:r>
    </w:p>
    <w:p w14:paraId="02AEF0D0" w14:textId="77777777" w:rsidR="00C61BF5" w:rsidRPr="008F6480" w:rsidRDefault="00000000">
      <w:pPr>
        <w:pStyle w:val="Compact"/>
        <w:numPr>
          <w:ilvl w:val="0"/>
          <w:numId w:val="4"/>
        </w:numPr>
        <w:rPr>
          <w:rFonts w:ascii="Calibri" w:hAnsi="Calibri" w:cs="Calibri"/>
          <w:color w:val="000000" w:themeColor="text1"/>
          <w:sz w:val="22"/>
          <w:szCs w:val="22"/>
        </w:rPr>
      </w:pPr>
      <w:r w:rsidRPr="008F6480">
        <w:rPr>
          <w:rFonts w:ascii="Calibri" w:hAnsi="Calibri" w:cs="Calibri"/>
          <w:color w:val="000000" w:themeColor="text1"/>
          <w:sz w:val="22"/>
          <w:szCs w:val="22"/>
        </w:rPr>
        <w:lastRenderedPageBreak/>
        <w:t>A null is useful only if both co-primary exposures are reliable, identifying variation is adequate, and the equivalence-power criterion in Section 5 was met. Equivalence needs roughly three times the block-passes that detection needs.</w:t>
      </w:r>
    </w:p>
    <w:p w14:paraId="0C590E4B" w14:textId="77777777" w:rsidR="00C61BF5" w:rsidRPr="008F6480" w:rsidRDefault="00000000">
      <w:pPr>
        <w:pStyle w:val="Compact"/>
        <w:numPr>
          <w:ilvl w:val="0"/>
          <w:numId w:val="4"/>
        </w:numPr>
        <w:rPr>
          <w:rFonts w:ascii="Calibri" w:hAnsi="Calibri" w:cs="Calibri"/>
          <w:color w:val="000000" w:themeColor="text1"/>
          <w:sz w:val="22"/>
          <w:szCs w:val="22"/>
        </w:rPr>
      </w:pPr>
      <w:r w:rsidRPr="008F6480">
        <w:rPr>
          <w:rFonts w:ascii="Calibri" w:hAnsi="Calibri" w:cs="Calibri"/>
          <w:color w:val="000000" w:themeColor="text1"/>
          <w:sz w:val="22"/>
          <w:szCs w:val="22"/>
        </w:rPr>
        <w:t>Cite Smith et al. (2023) in the opening paragraph and state that the link between a SWIR water index and the cooling slope is not new.</w:t>
      </w:r>
    </w:p>
    <w:p w14:paraId="4F86059A" w14:textId="77777777" w:rsidR="00C61BF5" w:rsidRPr="008F6480" w:rsidRDefault="00000000">
      <w:pPr>
        <w:pStyle w:val="Compact"/>
        <w:numPr>
          <w:ilvl w:val="0"/>
          <w:numId w:val="4"/>
        </w:numPr>
        <w:rPr>
          <w:rFonts w:ascii="Calibri" w:hAnsi="Calibri" w:cs="Calibri"/>
          <w:color w:val="000000" w:themeColor="text1"/>
          <w:sz w:val="22"/>
          <w:szCs w:val="22"/>
        </w:rPr>
      </w:pPr>
      <w:r w:rsidRPr="008F6480">
        <w:rPr>
          <w:rFonts w:ascii="Calibri" w:hAnsi="Calibri" w:cs="Calibri"/>
          <w:color w:val="000000" w:themeColor="text1"/>
          <w:sz w:val="22"/>
          <w:szCs w:val="22"/>
        </w:rPr>
        <w:t>Primary target: Remote Sensing of Environment. Environmental Research Letters is plausible only if the tree-background separation is clean and directionally consistent in both cities. Geophysical Research Letters is not the target for a two- or three-city surface-temperature association.</w:t>
      </w:r>
    </w:p>
    <w:p w14:paraId="6391B1CF" w14:textId="77777777" w:rsidR="00C61BF5" w:rsidRPr="008F6480" w:rsidRDefault="00000000">
      <w:pPr>
        <w:pStyle w:val="Heading2"/>
        <w:rPr>
          <w:rFonts w:ascii="Calibri" w:hAnsi="Calibri" w:cs="Calibri"/>
          <w:color w:val="000000" w:themeColor="text1"/>
          <w:sz w:val="22"/>
          <w:szCs w:val="22"/>
        </w:rPr>
      </w:pPr>
      <w:bookmarkStart w:id="12" w:name="appendix-a.-protocol-template"/>
      <w:bookmarkEnd w:id="11"/>
      <w:r w:rsidRPr="008F6480">
        <w:rPr>
          <w:rFonts w:ascii="Calibri" w:hAnsi="Calibri" w:cs="Calibri"/>
          <w:color w:val="000000" w:themeColor="text1"/>
          <w:sz w:val="22"/>
          <w:szCs w:val="22"/>
        </w:rPr>
        <w:t>Appendix A. Protocol template</w:t>
      </w:r>
    </w:p>
    <w:p w14:paraId="675F510D" w14:textId="77777777" w:rsidR="00C61BF5" w:rsidRPr="008F6480" w:rsidRDefault="00000000">
      <w:pPr>
        <w:pStyle w:val="FirstParagraph"/>
        <w:rPr>
          <w:rFonts w:ascii="Calibri" w:hAnsi="Calibri" w:cs="Calibri"/>
          <w:color w:val="000000" w:themeColor="text1"/>
          <w:sz w:val="22"/>
          <w:szCs w:val="22"/>
        </w:rPr>
      </w:pPr>
      <w:r w:rsidRPr="008F6480">
        <w:rPr>
          <w:rFonts w:ascii="Calibri" w:hAnsi="Calibri" w:cs="Calibri"/>
          <w:color w:val="000000" w:themeColor="text1"/>
          <w:sz w:val="22"/>
          <w:szCs w:val="22"/>
        </w:rPr>
        <w:t>This file is the single source of truth for every threshold. No other document may restate a value that contradicts it. Replace every blank before the corresponding analysis begins.</w:t>
      </w:r>
    </w:p>
    <w:p w14:paraId="4EB54D6B" w14:textId="77777777" w:rsidR="00C61BF5" w:rsidRPr="008F6480" w:rsidRDefault="00000000">
      <w:pPr>
        <w:pStyle w:val="SourceCode"/>
        <w:rPr>
          <w:rFonts w:ascii="Calibri" w:hAnsi="Calibri" w:cs="Calibri"/>
          <w:color w:val="000000" w:themeColor="text1"/>
          <w:sz w:val="22"/>
          <w:szCs w:val="22"/>
        </w:rPr>
      </w:pPr>
      <w:r w:rsidRPr="008F6480">
        <w:rPr>
          <w:rStyle w:val="FunctionTok"/>
          <w:rFonts w:ascii="Calibri" w:hAnsi="Calibri" w:cs="Calibri"/>
          <w:color w:val="000000" w:themeColor="text1"/>
          <w:szCs w:val="22"/>
        </w:rPr>
        <w:t>study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stable_canopy_swir_condition_v6_2</w:t>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frozen_on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YYYY-MM-DD</w:t>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version_status</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effect_blind_new_coefficients_prior_phoenix_lst_disclosed</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cities_gate_A</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phoenix</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los_angeles</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lead_city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TBD_from_gate_A_rule</w:t>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lead_city_rule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highest_simulated_detection_power_then_median_passes_per_block</w:t>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conditional_third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minneapolis_st_paul</w:t>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alternate_third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denver_aurora</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years_primary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DecValTok"/>
          <w:rFonts w:ascii="Calibri" w:hAnsi="Calibri" w:cs="Calibri"/>
          <w:color w:val="000000" w:themeColor="text1"/>
          <w:szCs w:val="22"/>
        </w:rPr>
        <w:t>2019</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2020</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2021</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2022</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2023</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2024</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2025</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year_2018_role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optional_partial_year_sensitivity</w:t>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year_2026_role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excluded_incomplete_not_formal_holdout</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season</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phoenix</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provisional_primary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FunctionTok"/>
          <w:rFonts w:ascii="Calibri" w:hAnsi="Calibri" w:cs="Calibri"/>
          <w:color w:val="000000" w:themeColor="text1"/>
          <w:szCs w:val="22"/>
        </w:rPr>
        <w:t>start</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StringTok"/>
          <w:rFonts w:ascii="Calibri" w:hAnsi="Calibri" w:cs="Calibri"/>
          <w:color w:val="000000" w:themeColor="text1"/>
          <w:szCs w:val="22"/>
        </w:rPr>
        <w:t>"05-15"</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end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StringTok"/>
          <w:rFonts w:ascii="Calibri" w:hAnsi="Calibri" w:cs="Calibri"/>
          <w:color w:val="000000" w:themeColor="text1"/>
          <w:szCs w:val="22"/>
        </w:rPr>
        <w:t>"07-10"</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sensitivity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FunctionTok"/>
          <w:rFonts w:ascii="Calibri" w:hAnsi="Calibri" w:cs="Calibri"/>
          <w:color w:val="000000" w:themeColor="text1"/>
          <w:szCs w:val="22"/>
        </w:rPr>
        <w:t>start</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StringTok"/>
          <w:rFonts w:ascii="Calibri" w:hAnsi="Calibri" w:cs="Calibri"/>
          <w:color w:val="000000" w:themeColor="text1"/>
          <w:szCs w:val="22"/>
        </w:rPr>
        <w:t>"06-01"</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end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StringTok"/>
          <w:rFonts w:ascii="Calibri" w:hAnsi="Calibri" w:cs="Calibri"/>
          <w:color w:val="000000" w:themeColor="text1"/>
          <w:szCs w:val="22"/>
        </w:rPr>
        <w:t>"09-30"</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los_angeles</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provisional_primary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FunctionTok"/>
          <w:rFonts w:ascii="Calibri" w:hAnsi="Calibri" w:cs="Calibri"/>
          <w:color w:val="000000" w:themeColor="text1"/>
          <w:szCs w:val="22"/>
        </w:rPr>
        <w:t>start</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StringTok"/>
          <w:rFonts w:ascii="Calibri" w:hAnsi="Calibri" w:cs="Calibri"/>
          <w:color w:val="000000" w:themeColor="text1"/>
          <w:szCs w:val="22"/>
        </w:rPr>
        <w:t>"06-01"</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end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StringTok"/>
          <w:rFonts w:ascii="Calibri" w:hAnsi="Calibri" w:cs="Calibri"/>
          <w:color w:val="000000" w:themeColor="text1"/>
          <w:szCs w:val="22"/>
        </w:rPr>
        <w:t>"09-30"</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sensitivity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FunctionTok"/>
          <w:rFonts w:ascii="Calibri" w:hAnsi="Calibri" w:cs="Calibri"/>
          <w:color w:val="000000" w:themeColor="text1"/>
          <w:szCs w:val="22"/>
        </w:rPr>
        <w:t>start</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StringTok"/>
          <w:rFonts w:ascii="Calibri" w:hAnsi="Calibri" w:cs="Calibri"/>
          <w:color w:val="000000" w:themeColor="text1"/>
          <w:szCs w:val="22"/>
        </w:rPr>
        <w:t>"05-15"</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end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StringTok"/>
          <w:rFonts w:ascii="Calibri" w:hAnsi="Calibri" w:cs="Calibri"/>
          <w:color w:val="000000" w:themeColor="text1"/>
          <w:szCs w:val="22"/>
        </w:rPr>
        <w:t>"07-10"</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final_ruling_from</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gate_A_rainfall_and_optical_support</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grid</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lst</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native_ECOSTRESS_MGRS</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block_km_primary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1.0</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block_km_sensitivity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FloatTok"/>
          <w:rFonts w:ascii="Calibri" w:hAnsi="Calibri" w:cs="Calibri"/>
          <w:color w:val="000000" w:themeColor="text1"/>
          <w:szCs w:val="22"/>
        </w:rPr>
        <w:t>0.5</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2.0</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min_canopy_span_p10_p90</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0.20</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canopy</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product_family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current_raw_Science_TCC</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exact_release_methods_and_checksums</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REQUIRED</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years_for_stability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DecValTok"/>
          <w:rFonts w:ascii="Calibri" w:hAnsi="Calibri" w:cs="Calibri"/>
          <w:color w:val="000000" w:themeColor="text1"/>
          <w:szCs w:val="22"/>
        </w:rPr>
        <w:t>2019</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2020</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2021</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2022</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2023</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2024</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2025</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lastRenderedPageBreak/>
        <w:t xml:space="preserve">  </w:t>
      </w:r>
      <w:r w:rsidRPr="008F6480">
        <w:rPr>
          <w:rStyle w:val="FunctionTok"/>
          <w:rFonts w:ascii="Calibri" w:hAnsi="Calibri" w:cs="Calibri"/>
          <w:color w:val="000000" w:themeColor="text1"/>
          <w:szCs w:val="22"/>
        </w:rPr>
        <w:t>stage1_amount</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stable_cell_median_2019_2025</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year_matched_role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sensitivity</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modified_series_allowed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CharTok"/>
          <w:rFonts w:ascii="Calibri" w:hAnsi="Calibri" w:cs="Calibri"/>
          <w:color w:val="000000" w:themeColor="text1"/>
          <w:szCs w:val="22"/>
        </w:rPr>
        <w:t>false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units</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fraction_0_to_1</w:t>
      </w:r>
      <w:r w:rsidRPr="008F6480">
        <w:rPr>
          <w:rStyle w:val="CommentTok"/>
          <w:rFonts w:ascii="Calibri" w:hAnsi="Calibri" w:cs="Calibri"/>
          <w:color w:val="000000" w:themeColor="text1"/>
          <w:szCs w:val="22"/>
        </w:rPr>
        <w:t xml:space="preserve">          # CE = -0.10 * slope; if percent, CE = -10 * slope</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optical</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source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HLS_V2_L30_S30</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min_lead_hours</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24</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max_age_days_primary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21</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max_age_days_sensitivity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DecValTok"/>
          <w:rFonts w:ascii="Calibri" w:hAnsi="Calibri" w:cs="Calibri"/>
          <w:color w:val="000000" w:themeColor="text1"/>
          <w:szCs w:val="22"/>
        </w:rPr>
        <w:t>14</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28</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same_acquisition_tree_background_within_blockpass</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CharTok"/>
          <w:rFonts w:ascii="Calibri" w:hAnsi="Calibri" w:cs="Calibri"/>
          <w:color w:val="000000" w:themeColor="text1"/>
          <w:szCs w:val="22"/>
        </w:rPr>
        <w:t>true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prefer_common_citypass_acquisition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CharTok"/>
          <w:rFonts w:ascii="Calibri" w:hAnsi="Calibri" w:cs="Calibri"/>
          <w:color w:val="000000" w:themeColor="text1"/>
          <w:szCs w:val="22"/>
        </w:rPr>
        <w:t>true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store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optical_acquisition_id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source_date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sensor</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optical_age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QA</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cluster_or_resample_by_optical_acquisition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CharTok"/>
          <w:rFonts w:ascii="Calibri" w:hAnsi="Calibri" w:cs="Calibri"/>
          <w:color w:val="000000" w:themeColor="text1"/>
          <w:szCs w:val="22"/>
        </w:rPr>
        <w:t>true</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pixel_populations</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tree_fraction_threshold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REQUIRED</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background_primary_class</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nontree_pervious_low_vegetation</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background_placebo_class</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impervious_bare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background_fraction_threshold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REQUIRED</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separating_gap</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REQUIRED</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min_effective_tree_pixels</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30</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min_effective_background_pixels</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30</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condition</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G</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LOYO_antecedent_EVI2_anomaly_tree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W_tree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crossfitted_NDMI_on_EVI2_residual_tree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W_bg</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crossfitted_NDMI_on_EVI2_residual_fixed_pervious_background</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alternative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validated_tasseled_cap_pair</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primary_scale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block</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cell_scale_role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sensitivity</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reliability_methods</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split_half</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near_coincident_L30_S30</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short_window_repeat</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partial_r_ceiling</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0.85</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fallback_rule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difference_and_mean_only_if_both_pass_all_gates</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stage1</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per_pass_formula</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StringTok"/>
          <w:rFonts w:ascii="Calibri" w:hAnsi="Calibri" w:cs="Calibri"/>
          <w:color w:val="000000" w:themeColor="text1"/>
          <w:szCs w:val="22"/>
        </w:rPr>
        <w:t>"0 + C(block) + C(block):canopy_c + context_covariates_c"</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response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LST_K</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output</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CE_K_per_10pp_canopy</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uncertainty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spatial_subblock_resampling</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no_expected_sign_gate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CharTok"/>
          <w:rFonts w:ascii="Calibri" w:hAnsi="Calibri" w:cs="Calibri"/>
          <w:color w:val="000000" w:themeColor="text1"/>
          <w:szCs w:val="22"/>
        </w:rPr>
        <w:t>true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no_compositional_sum_claim</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CharTok"/>
          <w:rFonts w:ascii="Calibri" w:hAnsi="Calibri" w:cs="Calibri"/>
          <w:color w:val="000000" w:themeColor="text1"/>
          <w:szCs w:val="22"/>
        </w:rPr>
        <w:t>true</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stage2</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formula</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StringTok"/>
          <w:rFonts w:ascii="Calibri" w:hAnsi="Calibri" w:cs="Calibri"/>
          <w:color w:val="000000" w:themeColor="text1"/>
          <w:szCs w:val="22"/>
        </w:rPr>
        <w:t>"CE ~ C(block) + C(pass) + G + W_tree + W_bg + frozen_quality_terms"</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optional_demand_branch</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TBD_from_free_check_and_gate_A</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if_demand_retained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W_tree_x_VPD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W_bg_x_VPD</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clusters_or_bootstrap</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block</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thermal_pass</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optical_acquisition</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lastRenderedPageBreak/>
        <w:t xml:space="preserve">  </w:t>
      </w:r>
      <w:r w:rsidRPr="008F6480">
        <w:rPr>
          <w:rStyle w:val="FunctionTok"/>
          <w:rFonts w:ascii="Calibri" w:hAnsi="Calibri" w:cs="Calibri"/>
          <w:color w:val="000000" w:themeColor="text1"/>
          <w:szCs w:val="22"/>
        </w:rPr>
        <w:t>city_reporting</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city_specific</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equal_city_pooled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leave_one_city_out</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predicted_signs</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theta_wt_on_CE_scale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positive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theta_wb_on_CE_scale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negative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interpretation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consistency_evidence_not_proof</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same_sign_consequence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whole_block_optical_condition_framing</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inference</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confirmatory_test</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joint_sign_contrast_theta_wt_vs_theta_wb</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all_other_estimates</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descriptive_or_sensitivity</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report_scale_primary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observed</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latent_scale_translation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reported_separately_with_assumptions</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power</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latent_meaningful_effect_K_per_10pp_per_latentSD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0.10</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latent_equivalence_bound_K</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0.05</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observed_translation_if_standardized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StringTok"/>
          <w:rFonts w:ascii="Calibri" w:hAnsi="Calibri" w:cs="Calibri"/>
          <w:color w:val="000000" w:themeColor="text1"/>
          <w:szCs w:val="22"/>
        </w:rPr>
        <w:t>"theta_observed = theta_latent * sqrt(reliability)"</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latent_effect_sensitivities_K</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FloatTok"/>
          <w:rFonts w:ascii="Calibri" w:hAnsi="Calibri" w:cs="Calibri"/>
          <w:color w:val="000000" w:themeColor="text1"/>
          <w:szCs w:val="22"/>
        </w:rPr>
        <w:t>0.05</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0.20</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planning_design_effect_D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2.5</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detection_constant</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7.85</w:t>
      </w:r>
      <w:r w:rsidRPr="008F6480">
        <w:rPr>
          <w:rStyle w:val="CommentTok"/>
          <w:rFonts w:ascii="Calibri" w:hAnsi="Calibri" w:cs="Calibri"/>
          <w:color w:val="000000" w:themeColor="text1"/>
          <w:szCs w:val="22"/>
        </w:rPr>
        <w:t xml:space="preserve">          # (z0.975 + z0.80)^2</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equivalence_constant</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6.18</w:t>
      </w:r>
      <w:r w:rsidRPr="008F6480">
        <w:rPr>
          <w:rStyle w:val="CommentTok"/>
          <w:rFonts w:ascii="Calibri" w:hAnsi="Calibri" w:cs="Calibri"/>
          <w:color w:val="000000" w:themeColor="text1"/>
          <w:szCs w:val="22"/>
        </w:rPr>
        <w:t xml:space="preserve">        # (z0.95  + z0.80)^2, two one-sided tests</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binding_method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full_simulation_actual_graph_two_component_correlated_error</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type1_max</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0.05</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power_min_detection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0.80</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power_min_equivalence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0.80</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gate_A</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optical_availability_min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0.70</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supported_blocks_min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30</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spatial_sectors_min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3</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connected_component_share_min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0.80</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median_passes_per_block_min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8</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reliability_min_each_coprimary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0.50</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fallback_must_pass_separately</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CharTok"/>
          <w:rFonts w:ascii="Calibri" w:hAnsi="Calibri" w:cs="Calibri"/>
          <w:color w:val="000000" w:themeColor="text1"/>
          <w:szCs w:val="22"/>
        </w:rPr>
        <w:t>true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background_composition_fixed</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CharTok"/>
          <w:rFonts w:ascii="Calibri" w:hAnsi="Calibri" w:cs="Calibri"/>
          <w:color w:val="000000" w:themeColor="text1"/>
          <w:szCs w:val="22"/>
        </w:rPr>
        <w:t>true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connectivity_reported_under</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restricted_window</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extended_window</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x [zenith_15, zenith_25]</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gate_B</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pilot_passes</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DecValTok"/>
          <w:rFonts w:ascii="Calibri" w:hAnsi="Calibri" w:cs="Calibri"/>
          <w:color w:val="000000" w:themeColor="text1"/>
          <w:szCs w:val="22"/>
        </w:rPr>
        <w:t>15</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DecValTok"/>
          <w:rFonts w:ascii="Calibri" w:hAnsi="Calibri" w:cs="Calibri"/>
          <w:color w:val="000000" w:themeColor="text1"/>
          <w:szCs w:val="22"/>
        </w:rPr>
        <w:t>20</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stable_slope_share_min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0.70</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projected_power_min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0.80</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sigma_s_tolerance_vs_plan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FloatTok"/>
          <w:rFonts w:ascii="Calibri" w:hAnsi="Calibri" w:cs="Calibri"/>
          <w:color w:val="000000" w:themeColor="text1"/>
          <w:szCs w:val="22"/>
        </w:rPr>
        <w:t>0.25</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common_cell_or_reweighted_estimable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CharTok"/>
          <w:rFonts w:ascii="Calibri" w:hAnsi="Calibri" w:cs="Calibri"/>
          <w:color w:val="000000" w:themeColor="text1"/>
          <w:szCs w:val="22"/>
        </w:rPr>
        <w:t>true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no_expected_sign_gate</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CharTok"/>
          <w:rFonts w:ascii="Calibri" w:hAnsi="Calibri" w:cs="Calibri"/>
          <w:color w:val="000000" w:themeColor="text1"/>
          <w:szCs w:val="22"/>
        </w:rPr>
        <w:t>true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coefficients_sealed_until_decision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t>
      </w:r>
      <w:r w:rsidRPr="008F6480">
        <w:rPr>
          <w:rStyle w:val="CharTok"/>
          <w:rFonts w:ascii="Calibri" w:hAnsi="Calibri" w:cs="Calibri"/>
          <w:color w:val="000000" w:themeColor="text1"/>
          <w:szCs w:val="22"/>
        </w:rPr>
        <w:t>true</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secondary_analyses</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lastRenderedPageBreak/>
        <w:t xml:space="preserve">  </w:t>
      </w:r>
      <w:r w:rsidRPr="008F6480">
        <w:rPr>
          <w:rStyle w:val="FunctionTok"/>
          <w:rFonts w:ascii="Calibri" w:hAnsi="Calibri" w:cs="Calibri"/>
          <w:color w:val="000000" w:themeColor="text1"/>
          <w:szCs w:val="22"/>
        </w:rPr>
        <w:t>irrigation_stratification</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where_records_available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FunctionTok"/>
          <w:rFonts w:ascii="Calibri" w:hAnsi="Calibri" w:cs="Calibri"/>
          <w:color w:val="000000" w:themeColor="text1"/>
          <w:szCs w:val="22"/>
        </w:rPr>
        <w:t>night_diagnostic</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optional_own_baseline</w:t>
      </w:r>
      <w:r w:rsidRPr="008F6480">
        <w:rPr>
          <w:rFonts w:ascii="Calibri" w:hAnsi="Calibri" w:cs="Calibri"/>
          <w:color w:val="000000" w:themeColor="text1"/>
          <w:sz w:val="22"/>
          <w:szCs w:val="22"/>
        </w:rPr>
        <w:br/>
      </w:r>
      <w:r w:rsidRPr="008F6480">
        <w:rPr>
          <w:rFonts w:ascii="Calibri" w:hAnsi="Calibri" w:cs="Calibri"/>
          <w:color w:val="000000" w:themeColor="text1"/>
          <w:sz w:val="22"/>
          <w:szCs w:val="22"/>
        </w:rPr>
        <w:br/>
      </w:r>
      <w:r w:rsidRPr="008F6480">
        <w:rPr>
          <w:rStyle w:val="FunctionTok"/>
          <w:rFonts w:ascii="Calibri" w:hAnsi="Calibri" w:cs="Calibri"/>
          <w:color w:val="000000" w:themeColor="text1"/>
          <w:szCs w:val="22"/>
        </w:rPr>
        <w:t>load_bearing_controls</w:t>
      </w:r>
      <w:r w:rsidRPr="008F6480">
        <w:rPr>
          <w:rStyle w:val="KeywordTok"/>
          <w:rFonts w:ascii="Calibri" w:hAnsi="Calibri" w:cs="Calibri"/>
          <w:color w:val="000000" w:themeColor="text1"/>
          <w:szCs w:val="22"/>
        </w:rPr>
        <w:t>:</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temporal_specificity</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fixed_background_definition</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cell_composition</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optical_source_date_and_reuse</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registration</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view_geometry</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rainfall_and_season</w:t>
      </w:r>
      <w:r w:rsidRPr="008F6480">
        <w:rPr>
          <w:rFonts w:ascii="Calibri" w:hAnsi="Calibri" w:cs="Calibri"/>
          <w:color w:val="000000" w:themeColor="text1"/>
          <w:sz w:val="22"/>
          <w:szCs w:val="22"/>
        </w:rPr>
        <w:br/>
      </w:r>
      <w:r w:rsidRPr="008F6480">
        <w:rPr>
          <w:rStyle w:val="AttributeTok"/>
          <w:rFonts w:ascii="Calibri" w:hAnsi="Calibri" w:cs="Calibri"/>
          <w:color w:val="000000" w:themeColor="text1"/>
          <w:szCs w:val="22"/>
        </w:rPr>
        <w:t xml:space="preserve">  </w:t>
      </w:r>
      <w:r w:rsidRPr="008F6480">
        <w:rPr>
          <w:rStyle w:val="KeywordTok"/>
          <w:rFonts w:ascii="Calibri" w:hAnsi="Calibri" w:cs="Calibri"/>
          <w:color w:val="000000" w:themeColor="text1"/>
          <w:szCs w:val="22"/>
        </w:rPr>
        <w:t>-</w:t>
      </w:r>
      <w:r w:rsidRPr="008F6480">
        <w:rPr>
          <w:rStyle w:val="AttributeTok"/>
          <w:rFonts w:ascii="Calibri" w:hAnsi="Calibri" w:cs="Calibri"/>
          <w:color w:val="000000" w:themeColor="text1"/>
          <w:szCs w:val="22"/>
        </w:rPr>
        <w:t xml:space="preserve"> independent_reproduction</w:t>
      </w:r>
    </w:p>
    <w:p w14:paraId="1C67D8B7" w14:textId="77777777" w:rsidR="00C61BF5" w:rsidRPr="008F6480" w:rsidRDefault="00000000">
      <w:pPr>
        <w:pStyle w:val="Heading2"/>
        <w:rPr>
          <w:rFonts w:ascii="Calibri" w:hAnsi="Calibri" w:cs="Calibri"/>
          <w:color w:val="000000" w:themeColor="text1"/>
          <w:sz w:val="22"/>
          <w:szCs w:val="22"/>
        </w:rPr>
      </w:pPr>
      <w:bookmarkStart w:id="13" w:name="appendix-b.-decision-log-format"/>
      <w:bookmarkEnd w:id="12"/>
      <w:r w:rsidRPr="008F6480">
        <w:rPr>
          <w:rFonts w:ascii="Calibri" w:hAnsi="Calibri" w:cs="Calibri"/>
          <w:color w:val="000000" w:themeColor="text1"/>
          <w:sz w:val="22"/>
          <w:szCs w:val="22"/>
        </w:rPr>
        <w:t>Appendix B. Decision log format</w:t>
      </w:r>
    </w:p>
    <w:p w14:paraId="56F1ABF6" w14:textId="77777777" w:rsidR="00C61BF5" w:rsidRPr="008F6480" w:rsidRDefault="00000000">
      <w:pPr>
        <w:pStyle w:val="SourceCode"/>
        <w:rPr>
          <w:rFonts w:ascii="Calibri" w:hAnsi="Calibri" w:cs="Calibri"/>
          <w:color w:val="000000" w:themeColor="text1"/>
          <w:sz w:val="22"/>
          <w:szCs w:val="22"/>
        </w:rPr>
      </w:pPr>
      <w:r w:rsidRPr="008F6480">
        <w:rPr>
          <w:rStyle w:val="VerbatimChar"/>
          <w:rFonts w:ascii="Calibri" w:hAnsi="Calibri" w:cs="Calibri"/>
          <w:color w:val="000000" w:themeColor="text1"/>
          <w:szCs w:val="22"/>
        </w:rPr>
        <w:t>## YYYY-MM-DD | person</w:t>
      </w:r>
      <w:r w:rsidRPr="008F6480">
        <w:rPr>
          <w:rFonts w:ascii="Calibri" w:hAnsi="Calibri" w:cs="Calibri"/>
          <w:color w:val="000000" w:themeColor="text1"/>
          <w:sz w:val="22"/>
          <w:szCs w:val="22"/>
        </w:rPr>
        <w:br/>
      </w:r>
      <w:r w:rsidRPr="008F6480">
        <w:rPr>
          <w:rStyle w:val="VerbatimChar"/>
          <w:rFonts w:ascii="Calibri" w:hAnsi="Calibri" w:cs="Calibri"/>
          <w:color w:val="000000" w:themeColor="text1"/>
          <w:szCs w:val="22"/>
        </w:rPr>
        <w:t>change: &lt;one sentence&gt;</w:t>
      </w:r>
      <w:r w:rsidRPr="008F6480">
        <w:rPr>
          <w:rFonts w:ascii="Calibri" w:hAnsi="Calibri" w:cs="Calibri"/>
          <w:color w:val="000000" w:themeColor="text1"/>
          <w:sz w:val="22"/>
          <w:szCs w:val="22"/>
        </w:rPr>
        <w:br/>
      </w:r>
      <w:r w:rsidRPr="008F6480">
        <w:rPr>
          <w:rStyle w:val="VerbatimChar"/>
          <w:rFonts w:ascii="Calibri" w:hAnsi="Calibri" w:cs="Calibri"/>
          <w:color w:val="000000" w:themeColor="text1"/>
          <w:szCs w:val="22"/>
        </w:rPr>
        <w:t>reason: &lt;scientific or technical reason&gt;</w:t>
      </w:r>
      <w:r w:rsidRPr="008F6480">
        <w:rPr>
          <w:rFonts w:ascii="Calibri" w:hAnsi="Calibri" w:cs="Calibri"/>
          <w:color w:val="000000" w:themeColor="text1"/>
          <w:sz w:val="22"/>
          <w:szCs w:val="22"/>
        </w:rPr>
        <w:br/>
      </w:r>
      <w:r w:rsidRPr="008F6480">
        <w:rPr>
          <w:rStyle w:val="VerbatimChar"/>
          <w:rFonts w:ascii="Calibri" w:hAnsi="Calibri" w:cs="Calibri"/>
          <w:color w:val="000000" w:themeColor="text1"/>
          <w:szCs w:val="22"/>
        </w:rPr>
        <w:t>v6_2_coefficient_viewed_before_change: yes | no</w:t>
      </w:r>
      <w:r w:rsidRPr="008F6480">
        <w:rPr>
          <w:rFonts w:ascii="Calibri" w:hAnsi="Calibri" w:cs="Calibri"/>
          <w:color w:val="000000" w:themeColor="text1"/>
          <w:sz w:val="22"/>
          <w:szCs w:val="22"/>
        </w:rPr>
        <w:br/>
      </w:r>
      <w:r w:rsidRPr="008F6480">
        <w:rPr>
          <w:rStyle w:val="VerbatimChar"/>
          <w:rFonts w:ascii="Calibri" w:hAnsi="Calibri" w:cs="Calibri"/>
          <w:color w:val="000000" w:themeColor="text1"/>
          <w:szCs w:val="22"/>
        </w:rPr>
        <w:t>prior_retired_thermal_work_relevant: yes | no</w:t>
      </w:r>
      <w:r w:rsidRPr="008F6480">
        <w:rPr>
          <w:rFonts w:ascii="Calibri" w:hAnsi="Calibri" w:cs="Calibri"/>
          <w:color w:val="000000" w:themeColor="text1"/>
          <w:sz w:val="22"/>
          <w:szCs w:val="22"/>
        </w:rPr>
        <w:br/>
      </w:r>
      <w:r w:rsidRPr="008F6480">
        <w:rPr>
          <w:rStyle w:val="VerbatimChar"/>
          <w:rFonts w:ascii="Calibri" w:hAnsi="Calibri" w:cs="Calibri"/>
          <w:color w:val="000000" w:themeColor="text1"/>
          <w:szCs w:val="22"/>
        </w:rPr>
        <w:t>files_changed: &lt;paths&gt;</w:t>
      </w:r>
      <w:r w:rsidRPr="008F6480">
        <w:rPr>
          <w:rFonts w:ascii="Calibri" w:hAnsi="Calibri" w:cs="Calibri"/>
          <w:color w:val="000000" w:themeColor="text1"/>
          <w:sz w:val="22"/>
          <w:szCs w:val="22"/>
        </w:rPr>
        <w:br/>
      </w:r>
      <w:r w:rsidRPr="008F6480">
        <w:rPr>
          <w:rStyle w:val="VerbatimChar"/>
          <w:rFonts w:ascii="Calibri" w:hAnsi="Calibri" w:cs="Calibri"/>
          <w:color w:val="000000" w:themeColor="text1"/>
          <w:szCs w:val="22"/>
        </w:rPr>
        <w:t>gate_affected: none | free_checks | A | B | full_analysis</w:t>
      </w:r>
      <w:r w:rsidRPr="008F6480">
        <w:rPr>
          <w:rFonts w:ascii="Calibri" w:hAnsi="Calibri" w:cs="Calibri"/>
          <w:color w:val="000000" w:themeColor="text1"/>
          <w:sz w:val="22"/>
          <w:szCs w:val="22"/>
        </w:rPr>
        <w:br/>
      </w:r>
      <w:r w:rsidRPr="008F6480">
        <w:rPr>
          <w:rStyle w:val="VerbatimChar"/>
          <w:rFonts w:ascii="Calibri" w:hAnsi="Calibri" w:cs="Calibri"/>
          <w:color w:val="000000" w:themeColor="text1"/>
          <w:szCs w:val="22"/>
        </w:rPr>
        <w:t>approved_by: &lt;supervisor&gt;</w:t>
      </w:r>
      <w:r w:rsidRPr="008F6480">
        <w:rPr>
          <w:rFonts w:ascii="Calibri" w:hAnsi="Calibri" w:cs="Calibri"/>
          <w:color w:val="000000" w:themeColor="text1"/>
          <w:sz w:val="22"/>
          <w:szCs w:val="22"/>
        </w:rPr>
        <w:br/>
      </w:r>
      <w:r w:rsidRPr="008F6480">
        <w:rPr>
          <w:rStyle w:val="VerbatimChar"/>
          <w:rFonts w:ascii="Calibri" w:hAnsi="Calibri" w:cs="Calibri"/>
          <w:color w:val="000000" w:themeColor="text1"/>
          <w:szCs w:val="22"/>
        </w:rPr>
        <w:t>consequence_for_claims: &lt;none / narrowed / estimator changed / disclosed deviation&gt;</w:t>
      </w:r>
    </w:p>
    <w:p w14:paraId="105EE126" w14:textId="77777777" w:rsidR="00C61BF5" w:rsidRPr="008F6480" w:rsidRDefault="00000000">
      <w:pPr>
        <w:pStyle w:val="FirstParagraph"/>
        <w:rPr>
          <w:rFonts w:ascii="Calibri" w:hAnsi="Calibri" w:cs="Calibri"/>
          <w:color w:val="000000" w:themeColor="text1"/>
          <w:sz w:val="22"/>
          <w:szCs w:val="22"/>
        </w:rPr>
      </w:pPr>
      <w:r w:rsidRPr="008F6480">
        <w:rPr>
          <w:rFonts w:ascii="Calibri" w:hAnsi="Calibri" w:cs="Calibri"/>
          <w:color w:val="000000" w:themeColor="text1"/>
          <w:sz w:val="22"/>
          <w:szCs w:val="22"/>
        </w:rPr>
        <w:t xml:space="preserve">An entry recording “yes” for </w:t>
      </w:r>
      <w:r w:rsidRPr="008F6480">
        <w:rPr>
          <w:rStyle w:val="VerbatimChar"/>
          <w:rFonts w:ascii="Calibri" w:hAnsi="Calibri" w:cs="Calibri"/>
          <w:color w:val="000000" w:themeColor="text1"/>
          <w:szCs w:val="22"/>
        </w:rPr>
        <w:t>v6_2_coefficient_viewed_before_change</w:t>
      </w:r>
      <w:r w:rsidRPr="008F6480">
        <w:rPr>
          <w:rFonts w:ascii="Calibri" w:hAnsi="Calibri" w:cs="Calibri"/>
          <w:color w:val="000000" w:themeColor="text1"/>
          <w:sz w:val="22"/>
          <w:szCs w:val="22"/>
        </w:rPr>
        <w:t>, on a change to any inclusion rule or model term, must be disclosed in the manuscript.</w:t>
      </w:r>
    </w:p>
    <w:p w14:paraId="22F02E0C" w14:textId="77777777" w:rsidR="00C61BF5" w:rsidRPr="008F6480" w:rsidRDefault="00000000">
      <w:pPr>
        <w:pStyle w:val="Heading2"/>
        <w:rPr>
          <w:rFonts w:ascii="Calibri" w:hAnsi="Calibri" w:cs="Calibri"/>
          <w:color w:val="000000" w:themeColor="text1"/>
          <w:sz w:val="22"/>
          <w:szCs w:val="22"/>
        </w:rPr>
      </w:pPr>
      <w:bookmarkStart w:id="14" w:name="appendix-c.-first-delivery-before-gate-a"/>
      <w:bookmarkEnd w:id="13"/>
      <w:r w:rsidRPr="008F6480">
        <w:rPr>
          <w:rFonts w:ascii="Calibri" w:hAnsi="Calibri" w:cs="Calibri"/>
          <w:color w:val="000000" w:themeColor="text1"/>
          <w:sz w:val="22"/>
          <w:szCs w:val="22"/>
        </w:rPr>
        <w:t>Appendix C. First delivery before Gate A</w:t>
      </w:r>
    </w:p>
    <w:p w14:paraId="73234185" w14:textId="77777777" w:rsidR="00C61BF5" w:rsidRPr="008F6480" w:rsidRDefault="00000000">
      <w:pPr>
        <w:pStyle w:val="FirstParagraph"/>
        <w:rPr>
          <w:rFonts w:ascii="Calibri" w:hAnsi="Calibri" w:cs="Calibri"/>
          <w:color w:val="000000" w:themeColor="text1"/>
          <w:sz w:val="22"/>
          <w:szCs w:val="22"/>
        </w:rPr>
      </w:pPr>
      <w:r w:rsidRPr="008F6480">
        <w:rPr>
          <w:rFonts w:ascii="Calibri" w:hAnsi="Calibri" w:cs="Calibri"/>
          <w:b/>
          <w:bCs/>
          <w:color w:val="000000" w:themeColor="text1"/>
          <w:sz w:val="22"/>
          <w:szCs w:val="22"/>
        </w:rPr>
        <w:t>Do not start new thermal processing.</w:t>
      </w:r>
      <w:r w:rsidRPr="008F6480">
        <w:rPr>
          <w:rFonts w:ascii="Calibri" w:hAnsi="Calibri" w:cs="Calibri"/>
          <w:color w:val="000000" w:themeColor="text1"/>
          <w:sz w:val="22"/>
          <w:szCs w:val="22"/>
        </w:rPr>
        <w:t xml:space="preserve"> Within five working days the analyst returns:</w:t>
      </w:r>
    </w:p>
    <w:p w14:paraId="2A95903E" w14:textId="77777777" w:rsidR="00C61BF5" w:rsidRPr="008F6480" w:rsidRDefault="00000000">
      <w:pPr>
        <w:pStyle w:val="Compact"/>
        <w:numPr>
          <w:ilvl w:val="0"/>
          <w:numId w:val="5"/>
        </w:numPr>
        <w:rPr>
          <w:rFonts w:ascii="Calibri" w:hAnsi="Calibri" w:cs="Calibri"/>
          <w:color w:val="000000" w:themeColor="text1"/>
          <w:sz w:val="22"/>
          <w:szCs w:val="22"/>
        </w:rPr>
      </w:pPr>
      <w:r w:rsidRPr="008F6480">
        <w:rPr>
          <w:rFonts w:ascii="Calibri" w:hAnsi="Calibri" w:cs="Calibri"/>
          <w:color w:val="000000" w:themeColor="text1"/>
          <w:sz w:val="22"/>
          <w:szCs w:val="22"/>
        </w:rPr>
        <w:t>The v6.2 protocol file, decision log and prior-thermal-access record, plus a conformance memorandum.</w:t>
      </w:r>
    </w:p>
    <w:p w14:paraId="46CB56D7" w14:textId="77777777" w:rsidR="00C61BF5" w:rsidRPr="008F6480" w:rsidRDefault="00000000">
      <w:pPr>
        <w:pStyle w:val="Compact"/>
        <w:numPr>
          <w:ilvl w:val="0"/>
          <w:numId w:val="5"/>
        </w:numPr>
        <w:rPr>
          <w:rFonts w:ascii="Calibri" w:hAnsi="Calibri" w:cs="Calibri"/>
          <w:color w:val="000000" w:themeColor="text1"/>
          <w:sz w:val="22"/>
          <w:szCs w:val="22"/>
        </w:rPr>
      </w:pPr>
      <w:r w:rsidRPr="008F6480">
        <w:rPr>
          <w:rFonts w:ascii="Calibri" w:hAnsi="Calibri" w:cs="Calibri"/>
          <w:color w:val="000000" w:themeColor="text1"/>
          <w:sz w:val="22"/>
          <w:szCs w:val="22"/>
        </w:rPr>
        <w:t>An independently reproducible Collection 3 catalogue and historical-count reconciliation.</w:t>
      </w:r>
    </w:p>
    <w:p w14:paraId="01CF586A" w14:textId="77777777" w:rsidR="00C61BF5" w:rsidRPr="008F6480" w:rsidRDefault="00000000">
      <w:pPr>
        <w:pStyle w:val="Compact"/>
        <w:numPr>
          <w:ilvl w:val="0"/>
          <w:numId w:val="5"/>
        </w:numPr>
        <w:rPr>
          <w:rFonts w:ascii="Calibri" w:hAnsi="Calibri" w:cs="Calibri"/>
          <w:color w:val="000000" w:themeColor="text1"/>
          <w:sz w:val="22"/>
          <w:szCs w:val="22"/>
        </w:rPr>
      </w:pPr>
      <w:r w:rsidRPr="008F6480">
        <w:rPr>
          <w:rFonts w:ascii="Calibri" w:hAnsi="Calibri" w:cs="Calibri"/>
          <w:color w:val="000000" w:themeColor="text1"/>
          <w:sz w:val="22"/>
          <w:szCs w:val="22"/>
        </w:rPr>
        <w:t>The corrected Stage 1 implementation on five already-downloaded native-grid passes, with coefficients sealed.</w:t>
      </w:r>
    </w:p>
    <w:p w14:paraId="0A7F99FA" w14:textId="77777777" w:rsidR="00C61BF5" w:rsidRPr="008F6480" w:rsidRDefault="00000000">
      <w:pPr>
        <w:pStyle w:val="Compact"/>
        <w:numPr>
          <w:ilvl w:val="0"/>
          <w:numId w:val="5"/>
        </w:numPr>
        <w:rPr>
          <w:rFonts w:ascii="Calibri" w:hAnsi="Calibri" w:cs="Calibri"/>
          <w:color w:val="000000" w:themeColor="text1"/>
          <w:sz w:val="22"/>
          <w:szCs w:val="22"/>
        </w:rPr>
      </w:pPr>
      <w:r w:rsidRPr="008F6480">
        <w:rPr>
          <w:rFonts w:ascii="Calibri" w:hAnsi="Calibri" w:cs="Calibri"/>
          <w:color w:val="000000" w:themeColor="text1"/>
          <w:sz w:val="22"/>
          <w:szCs w:val="22"/>
        </w:rPr>
        <w:t>The demand and geometry ruling.</w:t>
      </w:r>
    </w:p>
    <w:p w14:paraId="5C42B987" w14:textId="77777777" w:rsidR="00C61BF5" w:rsidRPr="008F6480" w:rsidRDefault="00000000">
      <w:pPr>
        <w:pStyle w:val="Compact"/>
        <w:numPr>
          <w:ilvl w:val="0"/>
          <w:numId w:val="5"/>
        </w:numPr>
        <w:rPr>
          <w:rFonts w:ascii="Calibri" w:hAnsi="Calibri" w:cs="Calibri"/>
          <w:color w:val="000000" w:themeColor="text1"/>
          <w:sz w:val="22"/>
          <w:szCs w:val="22"/>
        </w:rPr>
      </w:pPr>
      <w:r w:rsidRPr="008F6480">
        <w:rPr>
          <w:rFonts w:ascii="Calibri" w:hAnsi="Calibri" w:cs="Calibri"/>
          <w:color w:val="000000" w:themeColor="text1"/>
          <w:sz w:val="22"/>
          <w:szCs w:val="22"/>
        </w:rPr>
        <w:t>The block-pass connectivity report under both season windows and both geometry sets.</w:t>
      </w:r>
    </w:p>
    <w:p w14:paraId="06D4593D" w14:textId="77777777" w:rsidR="00C61BF5" w:rsidRPr="008F6480" w:rsidRDefault="00000000">
      <w:pPr>
        <w:pStyle w:val="Compact"/>
        <w:numPr>
          <w:ilvl w:val="0"/>
          <w:numId w:val="5"/>
        </w:numPr>
        <w:rPr>
          <w:rFonts w:ascii="Calibri" w:hAnsi="Calibri" w:cs="Calibri"/>
          <w:color w:val="000000" w:themeColor="text1"/>
          <w:sz w:val="22"/>
          <w:szCs w:val="22"/>
        </w:rPr>
      </w:pPr>
      <w:r w:rsidRPr="008F6480">
        <w:rPr>
          <w:rFonts w:ascii="Calibri" w:hAnsi="Calibri" w:cs="Calibri"/>
          <w:color w:val="000000" w:themeColor="text1"/>
          <w:sz w:val="22"/>
          <w:szCs w:val="22"/>
        </w:rPr>
        <w:t>An inventory of raw HLS, Science TCC, ECOSTRESS V3, precipitation and L1B GEO assets already on disk.</w:t>
      </w:r>
    </w:p>
    <w:p w14:paraId="1B701E41" w14:textId="77777777" w:rsidR="00C61BF5" w:rsidRPr="008F6480" w:rsidRDefault="00000000">
      <w:pPr>
        <w:pStyle w:val="FirstParagraph"/>
        <w:rPr>
          <w:rFonts w:ascii="Calibri" w:hAnsi="Calibri" w:cs="Calibri"/>
          <w:color w:val="000000" w:themeColor="text1"/>
          <w:sz w:val="22"/>
          <w:szCs w:val="22"/>
        </w:rPr>
      </w:pPr>
      <w:r w:rsidRPr="008F6480">
        <w:rPr>
          <w:rFonts w:ascii="Calibri" w:hAnsi="Calibri" w:cs="Calibri"/>
          <w:color w:val="000000" w:themeColor="text1"/>
          <w:sz w:val="22"/>
          <w:szCs w:val="22"/>
        </w:rPr>
        <w:t>Review this package before authorising the Gate A exposure rebuild.</w:t>
      </w:r>
    </w:p>
    <w:tbl>
      <w:tblPr>
        <w:tblStyle w:val="Table"/>
        <w:tblW w:w="5000" w:type="pct"/>
        <w:tblLook w:val="0020" w:firstRow="1" w:lastRow="0" w:firstColumn="0" w:lastColumn="0" w:noHBand="0" w:noVBand="0"/>
      </w:tblPr>
      <w:tblGrid>
        <w:gridCol w:w="874"/>
        <w:gridCol w:w="4010"/>
        <w:gridCol w:w="4692"/>
      </w:tblGrid>
      <w:tr w:rsidR="00C61BF5" w:rsidRPr="008F6480" w14:paraId="5E1CCDEC" w14:textId="77777777" w:rsidTr="00C61BF5">
        <w:trPr>
          <w:cnfStyle w:val="100000000000" w:firstRow="1" w:lastRow="0" w:firstColumn="0" w:lastColumn="0" w:oddVBand="0" w:evenVBand="0" w:oddHBand="0" w:evenHBand="0" w:firstRowFirstColumn="0" w:firstRowLastColumn="0" w:lastRowFirstColumn="0" w:lastRowLastColumn="0"/>
          <w:tblHeader/>
        </w:trPr>
        <w:tc>
          <w:tcPr>
            <w:tcW w:w="0" w:type="auto"/>
          </w:tcPr>
          <w:p w14:paraId="374553B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Priority</w:t>
            </w:r>
          </w:p>
        </w:tc>
        <w:tc>
          <w:tcPr>
            <w:tcW w:w="0" w:type="auto"/>
          </w:tcPr>
          <w:p w14:paraId="79A984D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Assignment</w:t>
            </w:r>
          </w:p>
        </w:tc>
        <w:tc>
          <w:tcPr>
            <w:tcW w:w="0" w:type="auto"/>
          </w:tcPr>
          <w:p w14:paraId="775A4BD9"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What counts as done</w:t>
            </w:r>
          </w:p>
        </w:tc>
      </w:tr>
      <w:tr w:rsidR="00C61BF5" w:rsidRPr="008F6480" w14:paraId="548B55F4" w14:textId="77777777">
        <w:tc>
          <w:tcPr>
            <w:tcW w:w="0" w:type="auto"/>
          </w:tcPr>
          <w:p w14:paraId="1214CDF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1</w:t>
            </w:r>
          </w:p>
        </w:tc>
        <w:tc>
          <w:tcPr>
            <w:tcW w:w="0" w:type="auto"/>
          </w:tcPr>
          <w:p w14:paraId="432D9661"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Create the v6.2 branch, protocol, decision log, prior-thermal-access record and conformance memorandum</w:t>
            </w:r>
          </w:p>
        </w:tc>
        <w:tc>
          <w:tcPr>
            <w:tcW w:w="0" w:type="auto"/>
          </w:tcPr>
          <w:p w14:paraId="46EEDC6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No load-bearing blank remains for the free checks; retired outputs are isolated</w:t>
            </w:r>
          </w:p>
        </w:tc>
      </w:tr>
      <w:tr w:rsidR="00C61BF5" w:rsidRPr="008F6480" w14:paraId="7CA0DBC8" w14:textId="77777777">
        <w:tc>
          <w:tcPr>
            <w:tcW w:w="0" w:type="auto"/>
          </w:tcPr>
          <w:p w14:paraId="006D645C"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2</w:t>
            </w:r>
          </w:p>
        </w:tc>
        <w:tc>
          <w:tcPr>
            <w:tcW w:w="0" w:type="auto"/>
          </w:tcPr>
          <w:p w14:paraId="7FAFD46A"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 xml:space="preserve">Independent catalogue, HRRR and </w:t>
            </w:r>
            <w:r w:rsidRPr="008F6480">
              <w:rPr>
                <w:rFonts w:ascii="Calibri" w:hAnsi="Calibri" w:cs="Calibri"/>
                <w:color w:val="000000" w:themeColor="text1"/>
                <w:sz w:val="22"/>
                <w:szCs w:val="22"/>
              </w:rPr>
              <w:lastRenderedPageBreak/>
              <w:t>geometry reproduction</w:t>
            </w:r>
          </w:p>
        </w:tc>
        <w:tc>
          <w:tcPr>
            <w:tcW w:w="0" w:type="auto"/>
          </w:tcPr>
          <w:p w14:paraId="1774F327"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lastRenderedPageBreak/>
              <w:t xml:space="preserve">A raw-source script reproduces counts and </w:t>
            </w:r>
            <w:r w:rsidRPr="008F6480">
              <w:rPr>
                <w:rFonts w:ascii="Calibri" w:hAnsi="Calibri" w:cs="Calibri"/>
                <w:color w:val="000000" w:themeColor="text1"/>
                <w:sz w:val="22"/>
                <w:szCs w:val="22"/>
              </w:rPr>
              <w:lastRenderedPageBreak/>
              <w:t>sampled joins without importing project code</w:t>
            </w:r>
          </w:p>
        </w:tc>
      </w:tr>
      <w:tr w:rsidR="00C61BF5" w:rsidRPr="008F6480" w14:paraId="5C274D6C" w14:textId="77777777">
        <w:tc>
          <w:tcPr>
            <w:tcW w:w="0" w:type="auto"/>
          </w:tcPr>
          <w:p w14:paraId="421C85D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lastRenderedPageBreak/>
              <w:t>3</w:t>
            </w:r>
          </w:p>
        </w:tc>
        <w:tc>
          <w:tcPr>
            <w:tcW w:w="0" w:type="auto"/>
          </w:tcPr>
          <w:p w14:paraId="5B47381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Correct Stage 1 precision census on the native grid</w:t>
            </w:r>
          </w:p>
        </w:tc>
        <w:tc>
          <w:tcPr>
            <w:tcW w:w="0" w:type="auto"/>
          </w:tcPr>
          <w:p w14:paraId="563F798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Block-specific slopes and spatial standard errors exist; point estimates sealed; the old formula is removed</w:t>
            </w:r>
          </w:p>
        </w:tc>
      </w:tr>
      <w:tr w:rsidR="00C61BF5" w:rsidRPr="008F6480" w14:paraId="538FD966" w14:textId="77777777">
        <w:tc>
          <w:tcPr>
            <w:tcW w:w="0" w:type="auto"/>
          </w:tcPr>
          <w:p w14:paraId="6AD2065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4</w:t>
            </w:r>
          </w:p>
        </w:tc>
        <w:tc>
          <w:tcPr>
            <w:tcW w:w="0" w:type="auto"/>
          </w:tcPr>
          <w:p w14:paraId="164A3D35"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Demand, geometry and connectivity checks</w:t>
            </w:r>
          </w:p>
        </w:tc>
        <w:tc>
          <w:tcPr>
            <w:tcW w:w="0" w:type="auto"/>
          </w:tcPr>
          <w:p w14:paraId="391AC8A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Explicit keep, drop or stop rulings with numbers and thresholds</w:t>
            </w:r>
          </w:p>
        </w:tc>
      </w:tr>
      <w:tr w:rsidR="00C61BF5" w:rsidRPr="008F6480" w14:paraId="7F31F97C" w14:textId="77777777">
        <w:tc>
          <w:tcPr>
            <w:tcW w:w="0" w:type="auto"/>
          </w:tcPr>
          <w:p w14:paraId="5094032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5</w:t>
            </w:r>
          </w:p>
        </w:tc>
        <w:tc>
          <w:tcPr>
            <w:tcW w:w="0" w:type="auto"/>
          </w:tcPr>
          <w:p w14:paraId="59490A77"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Inventory new data needs</w:t>
            </w:r>
          </w:p>
        </w:tc>
        <w:tc>
          <w:tcPr>
            <w:tcW w:w="0" w:type="auto"/>
          </w:tcPr>
          <w:p w14:paraId="62234C4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Current Science TCC release, HLS V2 coverage, MRMS or Stage IV, ECOSTRESS V3 and L1B GEO availability documented by city and year</w:t>
            </w:r>
          </w:p>
        </w:tc>
      </w:tr>
      <w:tr w:rsidR="00C61BF5" w:rsidRPr="008F6480" w14:paraId="2888EA8D" w14:textId="77777777">
        <w:tc>
          <w:tcPr>
            <w:tcW w:w="0" w:type="auto"/>
          </w:tcPr>
          <w:p w14:paraId="3B3D0501"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6</w:t>
            </w:r>
          </w:p>
        </w:tc>
        <w:tc>
          <w:tcPr>
            <w:tcW w:w="0" w:type="auto"/>
          </w:tcPr>
          <w:p w14:paraId="2EF5D40D"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Supervisor review</w:t>
            </w:r>
          </w:p>
        </w:tc>
        <w:tc>
          <w:tcPr>
            <w:tcW w:w="0" w:type="auto"/>
          </w:tcPr>
          <w:p w14:paraId="27D4C4A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Written authorisation to begin Gate A, or a stop or reframe decision</w:t>
            </w:r>
          </w:p>
        </w:tc>
      </w:tr>
    </w:tbl>
    <w:p w14:paraId="279AD953" w14:textId="77777777" w:rsidR="00C61BF5" w:rsidRPr="008F6480" w:rsidRDefault="00000000">
      <w:pPr>
        <w:pStyle w:val="Heading2"/>
        <w:rPr>
          <w:rFonts w:ascii="Calibri" w:hAnsi="Calibri" w:cs="Calibri"/>
          <w:color w:val="000000" w:themeColor="text1"/>
          <w:sz w:val="22"/>
          <w:szCs w:val="22"/>
        </w:rPr>
      </w:pPr>
      <w:bookmarkStart w:id="15" w:name="appendix-d.-verified-source-notes"/>
      <w:bookmarkEnd w:id="14"/>
      <w:r w:rsidRPr="008F6480">
        <w:rPr>
          <w:rFonts w:ascii="Calibri" w:hAnsi="Calibri" w:cs="Calibri"/>
          <w:color w:val="000000" w:themeColor="text1"/>
          <w:sz w:val="22"/>
          <w:szCs w:val="22"/>
        </w:rPr>
        <w:t>Appendix D. Verified source notes</w:t>
      </w:r>
    </w:p>
    <w:p w14:paraId="7A8FFE2B" w14:textId="77777777" w:rsidR="00C61BF5" w:rsidRPr="008F6480" w:rsidRDefault="00000000">
      <w:pPr>
        <w:pStyle w:val="Compact"/>
        <w:numPr>
          <w:ilvl w:val="0"/>
          <w:numId w:val="6"/>
        </w:numPr>
        <w:rPr>
          <w:rFonts w:ascii="Calibri" w:hAnsi="Calibri" w:cs="Calibri"/>
          <w:color w:val="000000" w:themeColor="text1"/>
          <w:sz w:val="22"/>
          <w:szCs w:val="22"/>
        </w:rPr>
      </w:pPr>
      <w:r w:rsidRPr="008F6480">
        <w:rPr>
          <w:rFonts w:ascii="Calibri" w:hAnsi="Calibri" w:cs="Calibri"/>
          <w:b/>
          <w:bCs/>
          <w:color w:val="000000" w:themeColor="text1"/>
          <w:sz w:val="22"/>
          <w:szCs w:val="22"/>
        </w:rPr>
        <w:t>Science Tree Canopy Cover.</w:t>
      </w:r>
      <w:r w:rsidRPr="008F6480">
        <w:rPr>
          <w:rFonts w:ascii="Calibri" w:hAnsi="Calibri" w:cs="Calibri"/>
          <w:color w:val="000000" w:themeColor="text1"/>
          <w:sz w:val="22"/>
          <w:szCs w:val="22"/>
        </w:rPr>
        <w:t xml:space="preserve"> Freeze the current raw annual release. Annual CONUS Science TCC is available through 2025; record the exact release and methods document used. Do not use the modified NLCD series.</w:t>
      </w:r>
    </w:p>
    <w:p w14:paraId="0116C098" w14:textId="77777777" w:rsidR="00C61BF5" w:rsidRPr="008F6480" w:rsidRDefault="00000000">
      <w:pPr>
        <w:pStyle w:val="Compact"/>
        <w:numPr>
          <w:ilvl w:val="0"/>
          <w:numId w:val="6"/>
        </w:numPr>
        <w:rPr>
          <w:rFonts w:ascii="Calibri" w:hAnsi="Calibri" w:cs="Calibri"/>
          <w:color w:val="000000" w:themeColor="text1"/>
          <w:sz w:val="22"/>
          <w:szCs w:val="22"/>
        </w:rPr>
      </w:pPr>
      <w:r w:rsidRPr="008F6480">
        <w:rPr>
          <w:rFonts w:ascii="Calibri" w:hAnsi="Calibri" w:cs="Calibri"/>
          <w:b/>
          <w:bCs/>
          <w:color w:val="000000" w:themeColor="text1"/>
          <w:sz w:val="22"/>
          <w:szCs w:val="22"/>
        </w:rPr>
        <w:t>HLS.</w:t>
      </w:r>
      <w:r w:rsidRPr="008F6480">
        <w:rPr>
          <w:rFonts w:ascii="Calibri" w:hAnsi="Calibri" w:cs="Calibri"/>
          <w:color w:val="000000" w:themeColor="text1"/>
          <w:sz w:val="22"/>
          <w:szCs w:val="22"/>
        </w:rPr>
        <w:t xml:space="preserve"> Use Version 2 L30/S30 surface reflectance on the common 30 m MGRS grid, with product QA and acquisition metadata. HLS harmonises the common bands, and sensor and source effects still remain in the exposure audit.</w:t>
      </w:r>
    </w:p>
    <w:p w14:paraId="60E73C31" w14:textId="77777777" w:rsidR="00C61BF5" w:rsidRPr="008F6480" w:rsidRDefault="00000000">
      <w:pPr>
        <w:pStyle w:val="Compact"/>
        <w:numPr>
          <w:ilvl w:val="0"/>
          <w:numId w:val="6"/>
        </w:numPr>
        <w:rPr>
          <w:rFonts w:ascii="Calibri" w:hAnsi="Calibri" w:cs="Calibri"/>
          <w:color w:val="000000" w:themeColor="text1"/>
          <w:sz w:val="22"/>
          <w:szCs w:val="22"/>
        </w:rPr>
      </w:pPr>
      <w:r w:rsidRPr="008F6480">
        <w:rPr>
          <w:rFonts w:ascii="Calibri" w:hAnsi="Calibri" w:cs="Calibri"/>
          <w:b/>
          <w:bCs/>
          <w:color w:val="000000" w:themeColor="text1"/>
          <w:sz w:val="22"/>
          <w:szCs w:val="22"/>
        </w:rPr>
        <w:t>ECOSTRESS.</w:t>
      </w:r>
      <w:r w:rsidRPr="008F6480">
        <w:rPr>
          <w:rFonts w:ascii="Calibri" w:hAnsi="Calibri" w:cs="Calibri"/>
          <w:color w:val="000000" w:themeColor="text1"/>
          <w:sz w:val="22"/>
          <w:szCs w:val="22"/>
        </w:rPr>
        <w:t xml:space="preserve"> Use ECO_L2T_LSTE.003 on the native 70 m MGRS tiles. The tiled product includes LST, QC, cloud_mask, water_mask, view_zenith and height. Historical acquisition gaps remain, and view azimuth must come from matching Level 1 geometry.</w:t>
      </w:r>
    </w:p>
    <w:p w14:paraId="21FD0DC1" w14:textId="77777777" w:rsidR="00C61BF5" w:rsidRPr="008F6480" w:rsidRDefault="00000000">
      <w:pPr>
        <w:pStyle w:val="Compact"/>
        <w:numPr>
          <w:ilvl w:val="0"/>
          <w:numId w:val="6"/>
        </w:numPr>
        <w:rPr>
          <w:rFonts w:ascii="Calibri" w:hAnsi="Calibri" w:cs="Calibri"/>
          <w:color w:val="000000" w:themeColor="text1"/>
          <w:sz w:val="22"/>
          <w:szCs w:val="22"/>
        </w:rPr>
      </w:pPr>
      <w:r w:rsidRPr="008F6480">
        <w:rPr>
          <w:rFonts w:ascii="Calibri" w:hAnsi="Calibri" w:cs="Calibri"/>
          <w:b/>
          <w:bCs/>
          <w:color w:val="000000" w:themeColor="text1"/>
          <w:sz w:val="22"/>
          <w:szCs w:val="22"/>
        </w:rPr>
        <w:t>Closest prior study.</w:t>
      </w:r>
      <w:r w:rsidRPr="008F6480">
        <w:rPr>
          <w:rFonts w:ascii="Calibri" w:hAnsi="Calibri" w:cs="Calibri"/>
          <w:color w:val="000000" w:themeColor="text1"/>
          <w:sz w:val="22"/>
          <w:szCs w:val="22"/>
        </w:rPr>
        <w:t xml:space="preserve"> Smith, I. A., Fabian, M. P. &amp; Hutyra, L. R. (2023). Urban green space and albedo impacts on surface temperature across seven United States cities. Science of the Total Environment 857:159663, DOI 10.1016/j.scitotenv.2022.159663. Mean tree-cover direct impact −0.089 K per percent cover; irradiance and LSWI explain 97% of across-city variance in the tree coefficient on seven city-level points; LSWI computed separately over tree-dominated and grass-dominated pixels; non-irrigated grass warms in San Jose while irrigated grass cools.</w:t>
      </w:r>
    </w:p>
    <w:p w14:paraId="04055DEA" w14:textId="77777777" w:rsidR="00C61BF5" w:rsidRPr="008F6480" w:rsidRDefault="00000000">
      <w:pPr>
        <w:pStyle w:val="Compact"/>
        <w:numPr>
          <w:ilvl w:val="0"/>
          <w:numId w:val="6"/>
        </w:numPr>
        <w:rPr>
          <w:rFonts w:ascii="Calibri" w:hAnsi="Calibri" w:cs="Calibri"/>
          <w:color w:val="000000" w:themeColor="text1"/>
          <w:sz w:val="22"/>
          <w:szCs w:val="22"/>
        </w:rPr>
      </w:pPr>
      <w:r w:rsidRPr="008F6480">
        <w:rPr>
          <w:rFonts w:ascii="Calibri" w:hAnsi="Calibri" w:cs="Calibri"/>
          <w:b/>
          <w:bCs/>
          <w:color w:val="000000" w:themeColor="text1"/>
          <w:sz w:val="22"/>
          <w:szCs w:val="22"/>
        </w:rPr>
        <w:t>Counter-hypothesis, arid irrigated cities.</w:t>
      </w:r>
      <w:r w:rsidRPr="008F6480">
        <w:rPr>
          <w:rFonts w:ascii="Calibri" w:hAnsi="Calibri" w:cs="Calibri"/>
          <w:color w:val="000000" w:themeColor="text1"/>
          <w:sz w:val="22"/>
          <w:szCs w:val="22"/>
        </w:rPr>
        <w:t xml:space="preserve"> Zhao, J., Meili, N., Zhao, X. &amp; Fatichi, S. (2023). Urban vegetation cooling potential during heatwaves depends on background climate. Environmental Research Letters 18:014035, DOI 10.1088/1748-9326/acaf0f. Arid-city vegetation showed cooling enhancement with unmodified stomatal opening, attributed to irrigation.</w:t>
      </w:r>
    </w:p>
    <w:p w14:paraId="5CF08158" w14:textId="77777777" w:rsidR="00C61BF5" w:rsidRPr="008F6480" w:rsidRDefault="00000000">
      <w:pPr>
        <w:pStyle w:val="Compact"/>
        <w:numPr>
          <w:ilvl w:val="0"/>
          <w:numId w:val="6"/>
        </w:numPr>
        <w:rPr>
          <w:rFonts w:ascii="Calibri" w:hAnsi="Calibri" w:cs="Calibri"/>
          <w:color w:val="000000" w:themeColor="text1"/>
          <w:sz w:val="22"/>
          <w:szCs w:val="22"/>
        </w:rPr>
      </w:pPr>
      <w:r w:rsidRPr="008F6480">
        <w:rPr>
          <w:rFonts w:ascii="Calibri" w:hAnsi="Calibri" w:cs="Calibri"/>
          <w:b/>
          <w:bCs/>
          <w:color w:val="000000" w:themeColor="text1"/>
          <w:sz w:val="22"/>
          <w:szCs w:val="22"/>
        </w:rPr>
        <w:t>Counter-hypothesis, maintained transpiration.</w:t>
      </w:r>
      <w:r w:rsidRPr="008F6480">
        <w:rPr>
          <w:rFonts w:ascii="Calibri" w:hAnsi="Calibri" w:cs="Calibri"/>
          <w:color w:val="000000" w:themeColor="text1"/>
          <w:sz w:val="22"/>
          <w:szCs w:val="22"/>
        </w:rPr>
        <w:t xml:space="preserve"> Bachofen, C., Peillon, M., Meili, N., et al. (2025). High transpirational cooling by urban trees despite extreme summer heatwaves. Urban Forestry &amp; Urban Greening, DOI 10.1016/j.ufug.2025.128819.</w:t>
      </w:r>
    </w:p>
    <w:p w14:paraId="119EF4AC" w14:textId="77777777" w:rsidR="00C61BF5" w:rsidRPr="008F6480" w:rsidRDefault="00000000">
      <w:pPr>
        <w:pStyle w:val="Compact"/>
        <w:numPr>
          <w:ilvl w:val="0"/>
          <w:numId w:val="6"/>
        </w:numPr>
        <w:rPr>
          <w:rFonts w:ascii="Calibri" w:hAnsi="Calibri" w:cs="Calibri"/>
          <w:color w:val="000000" w:themeColor="text1"/>
          <w:sz w:val="22"/>
          <w:szCs w:val="22"/>
        </w:rPr>
      </w:pPr>
      <w:r w:rsidRPr="008F6480">
        <w:rPr>
          <w:rFonts w:ascii="Calibri" w:hAnsi="Calibri" w:cs="Calibri"/>
          <w:b/>
          <w:bCs/>
          <w:color w:val="000000" w:themeColor="text1"/>
          <w:sz w:val="22"/>
          <w:szCs w:val="22"/>
        </w:rPr>
        <w:t>Outstanding.</w:t>
      </w:r>
      <w:r w:rsidRPr="008F6480">
        <w:rPr>
          <w:rFonts w:ascii="Calibri" w:hAnsi="Calibri" w:cs="Calibri"/>
          <w:color w:val="000000" w:themeColor="text1"/>
          <w:sz w:val="22"/>
          <w:szCs w:val="22"/>
        </w:rPr>
        <w:t xml:space="preserve"> Resolve and read the ISPRS Journal of Photogrammetry and Remote Sensing (2026) work on urban–rural gradients in cooling-efficiency trends and event-scale hydroclimatic drivers, publisher PII S0924271625004745, before the introduction is written.</w:t>
      </w:r>
    </w:p>
    <w:p w14:paraId="1A1D2CF3" w14:textId="77777777" w:rsidR="00C61BF5" w:rsidRPr="008F6480" w:rsidRDefault="00000000">
      <w:pPr>
        <w:pStyle w:val="Heading2"/>
        <w:rPr>
          <w:rFonts w:ascii="Calibri" w:hAnsi="Calibri" w:cs="Calibri"/>
          <w:color w:val="000000" w:themeColor="text1"/>
          <w:sz w:val="22"/>
          <w:szCs w:val="22"/>
        </w:rPr>
      </w:pPr>
      <w:bookmarkStart w:id="16" w:name="Xa1a3ca6a7c9e48618c56fbde04377edf4a53df4"/>
      <w:bookmarkEnd w:id="15"/>
      <w:r w:rsidRPr="008F6480">
        <w:rPr>
          <w:rFonts w:ascii="Calibri" w:hAnsi="Calibri" w:cs="Calibri"/>
          <w:color w:val="000000" w:themeColor="text1"/>
          <w:sz w:val="22"/>
          <w:szCs w:val="22"/>
        </w:rPr>
        <w:t>Appendix E. Supervisor sign-off before Gate A</w:t>
      </w:r>
    </w:p>
    <w:tbl>
      <w:tblPr>
        <w:tblStyle w:val="Table"/>
        <w:tblW w:w="5000" w:type="pct"/>
        <w:tblLook w:val="0020" w:firstRow="1" w:lastRow="0" w:firstColumn="0" w:lastColumn="0" w:noHBand="0" w:noVBand="0"/>
      </w:tblPr>
      <w:tblGrid>
        <w:gridCol w:w="2493"/>
        <w:gridCol w:w="6059"/>
        <w:gridCol w:w="1024"/>
      </w:tblGrid>
      <w:tr w:rsidR="00C61BF5" w:rsidRPr="008F6480" w14:paraId="2092E035" w14:textId="77777777" w:rsidTr="00C61BF5">
        <w:trPr>
          <w:cnfStyle w:val="100000000000" w:firstRow="1" w:lastRow="0" w:firstColumn="0" w:lastColumn="0" w:oddVBand="0" w:evenVBand="0" w:oddHBand="0" w:evenHBand="0" w:firstRowFirstColumn="0" w:firstRowLastColumn="0" w:lastRowFirstColumn="0" w:lastRowLastColumn="0"/>
          <w:tblHeader/>
        </w:trPr>
        <w:tc>
          <w:tcPr>
            <w:tcW w:w="0" w:type="auto"/>
          </w:tcPr>
          <w:p w14:paraId="6C521E2C"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Check</w:t>
            </w:r>
          </w:p>
        </w:tc>
        <w:tc>
          <w:tcPr>
            <w:tcW w:w="0" w:type="auto"/>
          </w:tcPr>
          <w:p w14:paraId="255C6B2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Required evidence</w:t>
            </w:r>
          </w:p>
        </w:tc>
        <w:tc>
          <w:tcPr>
            <w:tcW w:w="0" w:type="auto"/>
          </w:tcPr>
          <w:p w14:paraId="6587AA0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Sign-off</w:t>
            </w:r>
          </w:p>
        </w:tc>
      </w:tr>
      <w:tr w:rsidR="00C61BF5" w:rsidRPr="008F6480" w14:paraId="7121F69B" w14:textId="77777777">
        <w:tc>
          <w:tcPr>
            <w:tcW w:w="0" w:type="auto"/>
          </w:tcPr>
          <w:p w14:paraId="3DB008ED"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Protocol complete</w:t>
            </w:r>
          </w:p>
        </w:tc>
        <w:tc>
          <w:tcPr>
            <w:tcW w:w="0" w:type="auto"/>
          </w:tcPr>
          <w:p w14:paraId="2553445D"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No load-bearing blank remains for the free checks; deviations from v6.1 are listed</w:t>
            </w:r>
          </w:p>
        </w:tc>
        <w:tc>
          <w:tcPr>
            <w:tcW w:w="0" w:type="auto"/>
          </w:tcPr>
          <w:p w14:paraId="06727C9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____ / ____</w:t>
            </w:r>
          </w:p>
        </w:tc>
      </w:tr>
      <w:tr w:rsidR="00C61BF5" w:rsidRPr="008F6480" w14:paraId="650A8354" w14:textId="77777777">
        <w:tc>
          <w:tcPr>
            <w:tcW w:w="0" w:type="auto"/>
          </w:tcPr>
          <w:p w14:paraId="3EFE850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 xml:space="preserve">Prior thermal access </w:t>
            </w:r>
            <w:r w:rsidRPr="008F6480">
              <w:rPr>
                <w:rFonts w:ascii="Calibri" w:hAnsi="Calibri" w:cs="Calibri"/>
                <w:color w:val="000000" w:themeColor="text1"/>
                <w:sz w:val="22"/>
                <w:szCs w:val="22"/>
              </w:rPr>
              <w:lastRenderedPageBreak/>
              <w:t>disclosed</w:t>
            </w:r>
          </w:p>
        </w:tc>
        <w:tc>
          <w:tcPr>
            <w:tcW w:w="0" w:type="auto"/>
          </w:tcPr>
          <w:p w14:paraId="45424CF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lastRenderedPageBreak/>
              <w:t xml:space="preserve">The prior-thermal-access record is complete and new </w:t>
            </w:r>
            <w:r w:rsidRPr="008F6480">
              <w:rPr>
                <w:rFonts w:ascii="Calibri" w:hAnsi="Calibri" w:cs="Calibri"/>
                <w:color w:val="000000" w:themeColor="text1"/>
                <w:sz w:val="22"/>
                <w:szCs w:val="22"/>
              </w:rPr>
              <w:lastRenderedPageBreak/>
              <w:t>coefficients remain sealed</w:t>
            </w:r>
          </w:p>
        </w:tc>
        <w:tc>
          <w:tcPr>
            <w:tcW w:w="0" w:type="auto"/>
          </w:tcPr>
          <w:p w14:paraId="1B8F5708"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lastRenderedPageBreak/>
              <w:t xml:space="preserve">____ / </w:t>
            </w:r>
            <w:r w:rsidRPr="008F6480">
              <w:rPr>
                <w:rFonts w:ascii="Calibri" w:hAnsi="Calibri" w:cs="Calibri"/>
                <w:color w:val="000000" w:themeColor="text1"/>
                <w:sz w:val="22"/>
                <w:szCs w:val="22"/>
              </w:rPr>
              <w:lastRenderedPageBreak/>
              <w:t>____</w:t>
            </w:r>
          </w:p>
        </w:tc>
      </w:tr>
      <w:tr w:rsidR="00C61BF5" w:rsidRPr="008F6480" w14:paraId="118C3D4D" w14:textId="77777777">
        <w:tc>
          <w:tcPr>
            <w:tcW w:w="0" w:type="auto"/>
          </w:tcPr>
          <w:p w14:paraId="5F5D1AE9"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lastRenderedPageBreak/>
              <w:t>Independent foundation audit</w:t>
            </w:r>
          </w:p>
        </w:tc>
        <w:tc>
          <w:tcPr>
            <w:tcW w:w="0" w:type="auto"/>
          </w:tcPr>
          <w:p w14:paraId="11DE3DFB"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Catalogue, grouping, geometry and sampled HRRR joins reproduce from raw sources</w:t>
            </w:r>
          </w:p>
        </w:tc>
        <w:tc>
          <w:tcPr>
            <w:tcW w:w="0" w:type="auto"/>
          </w:tcPr>
          <w:p w14:paraId="15FC77CA"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____ / ____</w:t>
            </w:r>
          </w:p>
        </w:tc>
      </w:tr>
      <w:tr w:rsidR="00C61BF5" w:rsidRPr="008F6480" w14:paraId="295229CD" w14:textId="77777777">
        <w:tc>
          <w:tcPr>
            <w:tcW w:w="0" w:type="auto"/>
          </w:tcPr>
          <w:p w14:paraId="4C18804C"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Correct Stage 1 implementation</w:t>
            </w:r>
          </w:p>
        </w:tc>
        <w:tc>
          <w:tcPr>
            <w:tcW w:w="0" w:type="auto"/>
          </w:tcPr>
          <w:p w14:paraId="62FECED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Block-specific canopy interactions produce one slope per block-pass; spatial standard errors are used</w:t>
            </w:r>
          </w:p>
        </w:tc>
        <w:tc>
          <w:tcPr>
            <w:tcW w:w="0" w:type="auto"/>
          </w:tcPr>
          <w:p w14:paraId="6451987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____ / ____</w:t>
            </w:r>
          </w:p>
        </w:tc>
      </w:tr>
      <w:tr w:rsidR="00C61BF5" w:rsidRPr="008F6480" w14:paraId="6C2E1C4F" w14:textId="77777777">
        <w:tc>
          <w:tcPr>
            <w:tcW w:w="0" w:type="auto"/>
          </w:tcPr>
          <w:p w14:paraId="501A75E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Unit convention verified</w:t>
            </w:r>
          </w:p>
        </w:tc>
        <w:tc>
          <w:tcPr>
            <w:tcW w:w="0" w:type="auto"/>
          </w:tcPr>
          <w:p w14:paraId="22296C32"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The canopy-fraction scale and the CE conversion are unit-tested against a known case</w:t>
            </w:r>
          </w:p>
        </w:tc>
        <w:tc>
          <w:tcPr>
            <w:tcW w:w="0" w:type="auto"/>
          </w:tcPr>
          <w:p w14:paraId="2A286EC4"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____ / ____</w:t>
            </w:r>
          </w:p>
        </w:tc>
      </w:tr>
      <w:tr w:rsidR="00C61BF5" w:rsidRPr="008F6480" w14:paraId="7CC3D16D" w14:textId="77777777">
        <w:tc>
          <w:tcPr>
            <w:tcW w:w="0" w:type="auto"/>
          </w:tcPr>
          <w:p w14:paraId="4000EB00"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Current products frozen</w:t>
            </w:r>
          </w:p>
        </w:tc>
        <w:tc>
          <w:tcPr>
            <w:tcW w:w="0" w:type="auto"/>
          </w:tcPr>
          <w:p w14:paraId="7E4432D7"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Exact Science TCC, HLS V2, ECOSTRESS V3, precipitation and geometry records are named and hashed</w:t>
            </w:r>
          </w:p>
        </w:tc>
        <w:tc>
          <w:tcPr>
            <w:tcW w:w="0" w:type="auto"/>
          </w:tcPr>
          <w:p w14:paraId="195F6C20"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____ / ____</w:t>
            </w:r>
          </w:p>
        </w:tc>
      </w:tr>
      <w:tr w:rsidR="00C61BF5" w:rsidRPr="008F6480" w14:paraId="53E518C1" w14:textId="77777777">
        <w:tc>
          <w:tcPr>
            <w:tcW w:w="0" w:type="auto"/>
          </w:tcPr>
          <w:p w14:paraId="7F463F9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Background pathway fixed</w:t>
            </w:r>
          </w:p>
        </w:tc>
        <w:tc>
          <w:tcPr>
            <w:tcW w:w="0" w:type="auto"/>
          </w:tcPr>
          <w:p w14:paraId="4501E9B5"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Primary and placebo background classes, thresholds and the separating gap are frozen</w:t>
            </w:r>
          </w:p>
        </w:tc>
        <w:tc>
          <w:tcPr>
            <w:tcW w:w="0" w:type="auto"/>
          </w:tcPr>
          <w:p w14:paraId="756F8F9B"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____ / ____</w:t>
            </w:r>
          </w:p>
        </w:tc>
      </w:tr>
      <w:tr w:rsidR="00C61BF5" w:rsidRPr="008F6480" w14:paraId="6195226F" w14:textId="77777777">
        <w:tc>
          <w:tcPr>
            <w:tcW w:w="0" w:type="auto"/>
          </w:tcPr>
          <w:p w14:paraId="16F39016"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Free-check rulings complete</w:t>
            </w:r>
          </w:p>
        </w:tc>
        <w:tc>
          <w:tcPr>
            <w:tcW w:w="0" w:type="auto"/>
          </w:tcPr>
          <w:p w14:paraId="18EB6C05"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Demand branch, connectivity, lead-lag status and precision planning have explicit decisions</w:t>
            </w:r>
          </w:p>
        </w:tc>
        <w:tc>
          <w:tcPr>
            <w:tcW w:w="0" w:type="auto"/>
          </w:tcPr>
          <w:p w14:paraId="1A9BAEFF"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____ / ____</w:t>
            </w:r>
          </w:p>
        </w:tc>
      </w:tr>
      <w:tr w:rsidR="00C61BF5" w:rsidRPr="008F6480" w14:paraId="629945E3" w14:textId="77777777">
        <w:tc>
          <w:tcPr>
            <w:tcW w:w="0" w:type="auto"/>
          </w:tcPr>
          <w:p w14:paraId="3156E63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Gate A authorised</w:t>
            </w:r>
          </w:p>
        </w:tc>
        <w:tc>
          <w:tcPr>
            <w:tcW w:w="0" w:type="auto"/>
          </w:tcPr>
          <w:p w14:paraId="6DC9FF40"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The supervisor records go, stop or reframe in the decision log before exposure rebuilding begins</w:t>
            </w:r>
          </w:p>
        </w:tc>
        <w:tc>
          <w:tcPr>
            <w:tcW w:w="0" w:type="auto"/>
          </w:tcPr>
          <w:p w14:paraId="79523A73" w14:textId="77777777" w:rsidR="00C61BF5" w:rsidRPr="008F6480" w:rsidRDefault="00000000">
            <w:pPr>
              <w:pStyle w:val="Compact"/>
              <w:rPr>
                <w:rFonts w:ascii="Calibri" w:hAnsi="Calibri" w:cs="Calibri"/>
                <w:color w:val="000000" w:themeColor="text1"/>
                <w:sz w:val="22"/>
                <w:szCs w:val="22"/>
              </w:rPr>
            </w:pPr>
            <w:r w:rsidRPr="008F6480">
              <w:rPr>
                <w:rFonts w:ascii="Calibri" w:hAnsi="Calibri" w:cs="Calibri"/>
                <w:color w:val="000000" w:themeColor="text1"/>
                <w:sz w:val="22"/>
                <w:szCs w:val="22"/>
              </w:rPr>
              <w:t>____ / ____</w:t>
            </w:r>
          </w:p>
        </w:tc>
      </w:tr>
    </w:tbl>
    <w:p w14:paraId="2D1AF5E6" w14:textId="77777777" w:rsidR="00C61BF5" w:rsidRPr="008F6480" w:rsidRDefault="00000000">
      <w:pPr>
        <w:pStyle w:val="BodyText"/>
        <w:rPr>
          <w:rFonts w:ascii="Calibri" w:hAnsi="Calibri" w:cs="Calibri"/>
          <w:color w:val="000000" w:themeColor="text1"/>
          <w:sz w:val="22"/>
          <w:szCs w:val="22"/>
        </w:rPr>
      </w:pPr>
      <w:r w:rsidRPr="008F6480">
        <w:rPr>
          <w:rFonts w:ascii="Calibri" w:hAnsi="Calibri" w:cs="Calibri"/>
          <w:b/>
          <w:bCs/>
          <w:color w:val="000000" w:themeColor="text1"/>
          <w:sz w:val="22"/>
          <w:szCs w:val="22"/>
        </w:rPr>
        <w:t>Last instruction.</w:t>
      </w:r>
      <w:r w:rsidRPr="008F6480">
        <w:rPr>
          <w:rFonts w:ascii="Calibri" w:hAnsi="Calibri" w:cs="Calibri"/>
          <w:color w:val="000000" w:themeColor="text1"/>
          <w:sz w:val="22"/>
          <w:szCs w:val="22"/>
        </w:rPr>
        <w:t xml:space="preserve"> Do not continue merely because the code runs. Continue when the optical variables are reliable, the fixed-effects identifying components contain support, the block-pass slope is measurable, the two-component simulation is powered for both detection and equivalence, and the result does not depend on one city, one optical acquisition, one background class or one processing choice.</w:t>
      </w:r>
      <w:bookmarkEnd w:id="0"/>
      <w:bookmarkEnd w:id="16"/>
    </w:p>
    <w:sectPr w:rsidR="00C61BF5" w:rsidRPr="008F6480">
      <w:footerReference w:type="even"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D48236" w14:textId="77777777" w:rsidR="002527B9" w:rsidRDefault="002527B9">
      <w:pPr>
        <w:spacing w:after="0"/>
      </w:pPr>
      <w:r>
        <w:separator/>
      </w:r>
    </w:p>
  </w:endnote>
  <w:endnote w:type="continuationSeparator" w:id="0">
    <w:p w14:paraId="69607DB7" w14:textId="77777777" w:rsidR="002527B9" w:rsidRDefault="002527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13985857"/>
      <w:docPartObj>
        <w:docPartGallery w:val="Page Numbers (Bottom of Page)"/>
        <w:docPartUnique/>
      </w:docPartObj>
    </w:sdtPr>
    <w:sdtContent>
      <w:p w14:paraId="3EF5F242" w14:textId="63AC29D0" w:rsidR="008F6480" w:rsidRDefault="008F6480" w:rsidP="003D16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1F25B2" w14:textId="77777777" w:rsidR="008F6480" w:rsidRDefault="008F64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80458086"/>
      <w:docPartObj>
        <w:docPartGallery w:val="Page Numbers (Bottom of Page)"/>
        <w:docPartUnique/>
      </w:docPartObj>
    </w:sdtPr>
    <w:sdtContent>
      <w:p w14:paraId="5558B89C" w14:textId="0BFA14EE" w:rsidR="008F6480" w:rsidRDefault="008F6480" w:rsidP="003D16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6895C94F" w14:textId="77777777" w:rsidR="008F6480" w:rsidRDefault="008F6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CD0568" w14:textId="77777777" w:rsidR="002527B9" w:rsidRDefault="002527B9">
      <w:r>
        <w:separator/>
      </w:r>
    </w:p>
  </w:footnote>
  <w:footnote w:type="continuationSeparator" w:id="0">
    <w:p w14:paraId="5D0E0573" w14:textId="77777777" w:rsidR="002527B9" w:rsidRDefault="002527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7E403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2F200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58698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11905920">
    <w:abstractNumId w:val="0"/>
  </w:num>
  <w:num w:numId="2" w16cid:durableId="1519730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8994622">
    <w:abstractNumId w:val="1"/>
  </w:num>
  <w:num w:numId="4" w16cid:durableId="1162740598">
    <w:abstractNumId w:val="1"/>
  </w:num>
  <w:num w:numId="5" w16cid:durableId="228007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98170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1BF5"/>
    <w:rsid w:val="0022620B"/>
    <w:rsid w:val="002527B9"/>
    <w:rsid w:val="004E3D87"/>
    <w:rsid w:val="008F6480"/>
    <w:rsid w:val="00C61BF5"/>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26A3F0"/>
  <w15:docId w15:val="{FC4311AA-1312-C24C-A835-71646DEE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8F6480"/>
    <w:pPr>
      <w:tabs>
        <w:tab w:val="center" w:pos="4680"/>
        <w:tab w:val="right" w:pos="9360"/>
      </w:tabs>
      <w:spacing w:after="0"/>
    </w:pPr>
  </w:style>
  <w:style w:type="character" w:customStyle="1" w:styleId="FooterChar">
    <w:name w:val="Footer Char"/>
    <w:basedOn w:val="DefaultParagraphFont"/>
    <w:link w:val="Footer"/>
    <w:rsid w:val="008F6480"/>
  </w:style>
  <w:style w:type="character" w:styleId="PageNumber">
    <w:name w:val="page number"/>
    <w:basedOn w:val="DefaultParagraphFont"/>
    <w:rsid w:val="008F6480"/>
  </w:style>
  <w:style w:type="paragraph" w:styleId="Header">
    <w:name w:val="header"/>
    <w:basedOn w:val="Normal"/>
    <w:link w:val="HeaderChar"/>
    <w:rsid w:val="008F6480"/>
    <w:pPr>
      <w:tabs>
        <w:tab w:val="center" w:pos="4680"/>
        <w:tab w:val="right" w:pos="9360"/>
      </w:tabs>
      <w:spacing w:after="0"/>
    </w:pPr>
  </w:style>
  <w:style w:type="character" w:customStyle="1" w:styleId="HeaderChar">
    <w:name w:val="Header Char"/>
    <w:basedOn w:val="DefaultParagraphFont"/>
    <w:link w:val="Header"/>
    <w:rsid w:val="008F6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4706</Words>
  <Characters>26830</Characters>
  <Application>Microsoft Office Word</Application>
  <DocSecurity>0</DocSecurity>
  <Lines>223</Lines>
  <Paragraphs>62</Paragraphs>
  <ScaleCrop>false</ScaleCrop>
  <Company/>
  <LinksUpToDate>false</LinksUpToDate>
  <CharactersWithSpaces>31474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Mohammadreza Alizadeh</cp:lastModifiedBy>
  <cp:revision>3</cp:revision>
  <dcterms:created xsi:type="dcterms:W3CDTF">2026-08-29T22:33:00Z</dcterms:created>
  <dcterms:modified xsi:type="dcterms:W3CDTF">2026-08-30T00:28:00Z</dcterms:modified>
</cp:coreProperties>
</file>