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pPr>
      <w:r>
        <w:t>Urban tree canopy cooling research proposal</w:t>
      </w:r>
    </w:p>
    <w:p>
      <w:pPr>
        <w:pStyle w:val="Subtitle"/>
      </w:pPr>
      <w:r>
        <w:t>Version 6.2  |  Observation time and measurement scale  |  19 September 2026</w:t>
      </w:r>
    </w:p>
    <w:p>
      <w:r>
        <w:t>Implementation is authorized for the limited Phoenix–Atlanta pilot. Coefficients stay sealed for precision review; Reza’s numerical agreement tolerance remains pending. Current run evidence is in the Pilot Meeting Package dated 19 September 2026.</w:t>
      </w:r>
    </w:p>
    <w:p>
      <w:pPr>
        <w:pStyle w:val="Heading1"/>
      </w:pPr>
      <w:r>
        <w:t>Scientific question and motivation</w:t>
      </w:r>
    </w:p>
    <w:p>
      <w:pPr>
        <w:widowControl/>
      </w:pPr>
      <w:r>
        <w:t>We ask whether canopy-associated surface cooling measured by ECOSTRESS changes with local solar observation time, and whether a fixed morning observation represents later-day cooling. The study estimates conditional associations between mixed-pixel land surface temperature and canopy fraction. It does not measure tree temperature directly or establish air-temperature, physiological or causal effects.</w:t>
      </w:r>
    </w:p>
    <w:p>
      <w:pPr>
        <w:widowControl/>
      </w:pPr>
      <w:r>
        <w:t>This v6.2 amendment follows the September meeting, written Next Steps and later response to the paper review. The original block-pass optical-condition design is deferred. The immediate objective is a two-city precision and measurement-scale pilot; full-city expansion awaits review.</w:t>
      </w:r>
    </w:p>
    <w:p>
      <w:pPr>
        <w:widowControl/>
      </w:pPr>
      <w:r>
        <w:t>A mixed pixel combines thermal emissions from multiple surfaces. The conversion to temperature is nonlinear, so a canopy–temperature slope can change with baseline temperature and canopy support even when a component temperature contrast is fixed. We therefore compare the same pooled estimator in temperature and broadband emitted-energy space and test its behavior under known simulated contrasts.</w:t>
      </w:r>
    </w:p>
    <w:p>
      <w:pPr>
        <w:pStyle w:val="Heading1"/>
      </w:pPr>
      <w:r>
        <w:t>Data and sampling</w:t>
      </w:r>
    </w:p>
    <w:p>
      <w:pPr>
        <w:widowControl/>
      </w:pPr>
      <w:r>
        <w:t>Use native ECOSTRESS cells and fixed 1 km blocks as intercept/resampling units. Retain the declared 2019–2025 main period, Science TCC annual stability screen and stable-cell multi-year canopy median, with year-matched canopy as a sensitivity. Retain existing quality and view-angle rules and freeze the added city’s season before fitting. The exact inherited products and controls remain in protocol_v6_2.yml.</w:t>
      </w:r>
    </w:p>
    <w:p>
      <w:pPr>
        <w:widowControl/>
      </w:pPr>
      <w:r>
        <w:t>The pilot retains Phoenix orbits 27963, 28024, 28706, 28828 and 28909 and selects Atlanta orbits 27835, 27896, 27916, 28145 and 28598. A seeded 300-block nonthermal Science TCC screen found within-block variance of 0.00159 in Phoenix, 0.08301 in Atlanta and 0.07189 in Charlotte. Atlanta also has verified afternoon acquisitions. Its five passes were frozen before thermal download from the existing geometry-verified 2023 June–September inventory.</w:t>
      </w:r>
    </w:p>
    <w:p>
      <w:pPr>
        <w:widowControl/>
      </w:pPr>
      <w:r>
        <w:t>Audit overlapping tile footprints and revisions to produce one unique ground-cell dataset per city-pass. Validate area-weighted raster aggregation without interpolation of LST. Independently reconcile the full mission metadata catalogue before applying the study window; the count of tiles is not the count of independent passes.</w:t>
      </w:r>
    </w:p>
    <w:p>
      <w:pPr>
        <w:pStyle w:val="Heading1"/>
      </w:pPr>
      <w:r>
        <w:t>Estimator and uncertainty</w:t>
      </w:r>
    </w:p>
    <w:p>
      <w:pPr>
        <w:widowControl/>
      </w:pPr>
      <w:r>
        <w:t>Fit a separate model for each city and overpass, using native ECOSTRESS cells pooled across its eligible 1 km blocks. Block effects are intercepts. Each city-pass has one shared canopy slope; do not fit a block-by-canopy interaction and do not average all cell temperatures into one observation per block.</w:t>
      </w:r>
    </w:p>
    <w:p>
      <w:pPr>
        <w:widowControl/>
      </w:pPr>
      <w:r>
        <w:rPr>
          <w:rFonts w:ascii="Consolas" w:hAnsi="Consolas"/>
          <w:sz w:val="18"/>
        </w:rPr>
        <w:t>LST_K ~ 0 + C(block) + canopy_c + context_covariates_c</w:t>
      </w:r>
    </w:p>
    <w:p>
      <w:pPr>
        <w:widowControl/>
      </w:pPr>
      <w:r>
        <w:rPr>
          <w:rFonts w:ascii="Consolas" w:hAnsi="Consolas"/>
          <w:sz w:val="18"/>
        </w:rPr>
        <w:t>M_W_m2 ~ 0 + C(block) + canopy_c + context_covariates_c</w:t>
      </w:r>
    </w:p>
    <w:p>
      <w:pPr>
        <w:widowControl/>
      </w:pPr>
      <w:r>
        <w:t>Center canopy and context variables within block and pass. Retain impervious, low-vegetation, bare, building, elevation and water-distance context terms and the existing quality controls. Handle constant or rank-deficient terms using a rule frozen before fitting. Albedo and incoming/net radiation remain secondary radiative sensitivities.</w:t>
      </w:r>
    </w:p>
    <w:p>
      <w:pPr>
        <w:widowControl/>
      </w:pPr>
      <w:r>
        <w:t>Estimate signed changes per 10 percentage points of canopy in K and W/m², or explicitly reverse their signs for positive cooling efficiency. Use the same valid cells, controls, weights and whole-block bootstrap draws in both spaces. The former per-block canopy-span gates are removed; pass-level within-block information, contributing blocks and concentration are reported as diagnostics without an arbitrary replacement cutoff.</w:t>
      </w:r>
    </w:p>
    <w:p>
      <w:pPr>
        <w:widowControl/>
      </w:pPr>
      <w:r>
        <w:t>Preserve common-cell/reweighting, registration, leverage and spatial-dependence checks. The open pilot reports standard errors and support; point estimates remain sealed until freeze, precision review and a recorded release. The approximate 0.10 K per 10 percentage points SE target concerns feasibility, not evidence of a time effect.</w:t>
      </w:r>
    </w:p>
    <w:p>
      <w:pPr>
        <w:pStyle w:val="Heading1"/>
      </w:pPr>
      <w:r>
        <w:t>Time interpretation and scale robustness</w:t>
      </w:r>
    </w:p>
    <w:p>
      <w:pPr>
        <w:widowControl/>
      </w:pPr>
      <w:r>
        <w:t>The primary analysis describes the total observation-time pattern, including solar-geometry changes. A separate secondary analysis standardizes geometry and season on shared support. If time and geometry cannot be separated, report that secondary limitation without changing the primary estimand. Overpasses on different days do not reconstruct a same-day trajectory.</w:t>
      </w:r>
    </w:p>
    <w:p>
      <w:pPr>
        <w:widowControl/>
      </w:pPr>
      <w:r>
        <w:t>Use a supported pair of canopy values separated by 0.10 and a frozen reference distribution. Compare emitted-energy predictions, reanchor their difference at a declared reference emissivity and temperature, and apply the exact fourth-root transformation. The working guide and pilot plan specify every step, including the order of averaging and paired uncertainty. A universal divisor is prohibited.</w:t>
      </w:r>
    </w:p>
    <w:p>
      <w:pPr>
        <w:widowControl/>
      </w:pPr>
      <w:r>
        <w:t>Compare the 10:30-to-late-afternoon change in the LST metric with the change in the standardized temperature-equivalent energy metric. Freeze the late target and numerical agreement tolerance before effect access. Same direction and discrepancy below tolerance retain LST as the headline metric; material disagreement or reversal makes emitted energy the primary physical analysis and requires calling the LST result scale-dependent.</w:t>
      </w:r>
    </w:p>
    <w:p>
      <w:pPr>
        <w:widowControl/>
      </w:pPr>
      <w:r>
        <w:t>Use constant tree–background contrast simulations grounded in the observed joint canopy, absolute temperature and emissivity distributions. Quantify artificial city/time differences and reversals under transformation-only, spatial-error and emissivity scenarios. All component assumptions and simulated outputs remain explicitly labeled.</w:t>
      </w:r>
    </w:p>
    <w:p>
      <w:pPr>
        <w:pStyle w:val="Heading1"/>
      </w:pPr>
      <w:r>
        <w:t>Claim boundaries and literature</w:t>
      </w:r>
    </w:p>
    <w:p>
      <w:pPr>
        <w:widowControl/>
      </w:pPr>
      <w:r>
        <w:t>The New York paper discussed in the review estimates subpixel component temperatures using eight surface classes, fractions and emissivities over moving windows. Our conditional mixed-pixel association is a different estimator. Full eight-class unmixing is outside this stage.</w:t>
      </w:r>
    </w:p>
    <w:p>
      <w:pPr>
        <w:widowControl/>
      </w:pPr>
      <w:r>
        <w:t>Keep the global cooling/VPD paper as observational climatic evidence. Our own support and collinearity diagnostics exclude VPD from primary and confirmatory claims; descriptive reporting remains. The previous HLS/SWIR tree-versus-background joint-sign hypothesis and drought pivot are deferred, not active prerequisites.</w:t>
      </w:r>
    </w:p>
    <w:p>
      <w:pPr>
        <w:widowControl/>
      </w:pPr>
      <w:r>
        <w:t>Briefly assess whether a suitable canopy product of 1 m or finer can validate annual 30 m fractions after native-cell aggregation. Record date, coverage, licensing and methods. Retain the primary multi-city canopy product. Review related ECOSTRESS methods and the specific time-sampling gap without treating novelty as already demonstrated.</w:t>
      </w:r>
    </w:p>
    <w:p>
      <w:pPr>
        <w:pStyle w:val="Heading1"/>
      </w:pPr>
      <w:r>
        <w:t>Progression and expected contribution</w:t>
      </w:r>
    </w:p>
    <w:p>
      <w:pPr>
        <w:widowControl/>
      </w:pPr>
      <w:r>
        <w:t>Successful precision in either city supports pilot review; Phoenix failure with success in the denser-canopy city defines a useful limitation. If both fail, report the precision numbers before further work. No expected cooling direction is required.</w:t>
      </w:r>
    </w:p>
    <w:p>
      <w:pPr>
        <w:widowControl/>
      </w:pPr>
      <w:r>
        <w:t>After review, process Phoenix and Los Angeles archives, inspect the pass-coefficient versus solar-time plot, and consider eight to twelve additional cities selected before thermal download. Derive the required independent-pass count by simulation/power rather than an arbitrary eight-pass threshold. A null claim requires an equivalence design with adequate precision.</w:t>
      </w:r>
    </w:p>
    <w:p>
      <w:pPr>
        <w:widowControl/>
      </w:pPr>
      <w:r>
        <w:t>The project can establish when a fixed-time surface-cooling metric is representative, underestimates later cooling, or overestimates it, within the observed support and chosen standardization. A failure to measure the contrast is a feasibility result, not proof that trees provide no cooling.</w:t>
      </w:r>
    </w:p>
    <w:p>
      <w:pPr>
        <w:widowControl/>
      </w:pPr>
      <w:r>
        <w:t>The implementation and pilot evidence are recorded in the dated meeting package. Reza’s numerical agreement tolerance and the coefficient-release decision remain outstanding. Full-city scaling remains paused.</w:t>
      </w:r>
    </w:p>
    <w:sectPr w:rsidR="00610AB4" w:rsidRPr="00AF14B1">
      <w:footerReference w:type="even" r:id="rId7"/>
      <w:footerReference w:type="default" r:id="rId8"/>
      <w:headerReference w:type="default" r:id="rId11"/>
      <w:headerReference w:type="first" r:id="rId12"/>
      <w:headerReference w:type="even" r:id="rId13"/>
      <w:footerReference w:type="first" r:id="rId14"/>
      <w:pgSz w:w="12240" w:h="15840"/>
      <w:pgMar w:top="1037" w:right="1123" w:bottom="936" w:left="112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F11BC4" w14:textId="77777777" w:rsidR="00ED383F" w:rsidRDefault="00ED383F">
      <w:pPr>
        <w:spacing w:after="0"/>
      </w:pPr>
      <w:r>
        <w:separator/>
      </w:r>
    </w:p>
  </w:endnote>
  <w:endnote w:type="continuationSeparator" w:id="0">
    <w:p w14:paraId="3C6242C2" w14:textId="77777777" w:rsidR="00ED383F" w:rsidRDefault="00ED383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jc w:val="right"/>
    </w:pPr>
    <w:r>
      <w:rPr>
        <w:sz w:val="16"/>
      </w:rPr>
      <w:t xml:space="preserve">v6.2  •  Updated 19 September 2026  •  </w:t>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3AF058" w14:textId="77777777" w:rsidR="00ED383F" w:rsidRDefault="00ED383F">
      <w:r>
        <w:separator/>
      </w:r>
    </w:p>
  </w:footnote>
  <w:footnote w:type="continuationSeparator" w:id="0">
    <w:p w14:paraId="4CD1A4E4" w14:textId="77777777" w:rsidR="00ED383F" w:rsidRDefault="00ED383F">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D4042EA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B8670B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0382EC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590576648">
    <w:abstractNumId w:val="0"/>
  </w:num>
  <w:num w:numId="2" w16cid:durableId="1578783613">
    <w:abstractNumId w:val="1"/>
  </w:num>
  <w:num w:numId="3" w16cid:durableId="10153087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4954873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10AB4"/>
    <w:rsid w:val="0022620B"/>
    <w:rsid w:val="00610AB4"/>
    <w:rsid w:val="00AF14B1"/>
    <w:rsid w:val="00ED383F"/>
    <w:rsid w:val="00FB7282"/>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4AAD00C4"/>
  <w15:docId w15:val="{FC4311AA-1312-C24C-A835-71646DEE0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80" w:line="245" w:lineRule="auto"/>
    </w:pPr>
    <w:rPr>
      <w:rFonts w:ascii="Calibri" w:hAnsi="Calibri"/>
      <w:color w:val="000000"/>
      <w:sz w:val="21"/>
    </w:rPr>
  </w:style>
  <w:style w:type="paragraph" w:styleId="Heading1">
    <w:name w:val="heading 1"/>
    <w:basedOn w:val="Normal"/>
    <w:next w:val="BodyText"/>
    <w:uiPriority w:val="9"/>
    <w:qFormat/>
    <w:pPr>
      <w:keepNext/>
      <w:keepLines/>
      <w:spacing w:before="200" w:after="80" w:line="245" w:lineRule="auto"/>
      <w:outlineLvl w:val="0"/>
    </w:pPr>
    <w:rPr>
      <w:rFonts w:asciiTheme="majorHAnsi" w:eastAsiaTheme="majorEastAsia" w:hAnsiTheme="majorHAnsi" w:cstheme="majorBidi" w:ascii="Calibri" w:hAnsi="Calibri"/>
      <w:b/>
      <w:bCs/>
      <w:color w:val="000000"/>
      <w:sz w:val="26"/>
      <w:szCs w:val="32"/>
    </w:rPr>
  </w:style>
  <w:style w:type="paragraph" w:styleId="Heading2">
    <w:name w:val="heading 2"/>
    <w:basedOn w:val="Normal"/>
    <w:next w:val="BodyText"/>
    <w:uiPriority w:val="9"/>
    <w:unhideWhenUsed/>
    <w:qFormat/>
    <w:pPr>
      <w:keepNext/>
      <w:keepLines/>
      <w:spacing w:before="200" w:after="80" w:line="245" w:lineRule="auto"/>
      <w:outlineLvl w:val="1"/>
    </w:pPr>
    <w:rPr>
      <w:rFonts w:asciiTheme="majorHAnsi" w:eastAsiaTheme="majorEastAsia" w:hAnsiTheme="majorHAnsi" w:cstheme="majorBidi" w:ascii="Calibri" w:hAnsi="Calibri"/>
      <w:b/>
      <w:bCs/>
      <w:color w:val="000000"/>
      <w:sz w:val="23"/>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80" w:line="245" w:lineRule="auto"/>
      <w:jc w:val="center"/>
    </w:pPr>
    <w:rPr>
      <w:rFonts w:asciiTheme="majorHAnsi" w:eastAsiaTheme="majorEastAsia" w:hAnsiTheme="majorHAnsi" w:cstheme="majorBidi" w:ascii="Calibri" w:hAnsi="Calibri"/>
      <w:b/>
      <w:bCs/>
      <w:color w:val="000000"/>
      <w:sz w:val="42"/>
      <w:szCs w:val="36"/>
    </w:rPr>
  </w:style>
  <w:style w:type="paragraph" w:styleId="Subtitle">
    <w:name w:val="Subtitle"/>
    <w:basedOn w:val="Title"/>
    <w:next w:val="BodyText"/>
    <w:qFormat/>
    <w:pPr>
      <w:spacing w:before="240" w:after="80" w:line="245" w:lineRule="auto"/>
    </w:pPr>
    <w:rPr>
      <w:rFonts w:ascii="Calibri" w:hAnsi="Calibri"/>
      <w:color w:val="000000"/>
      <w:sz w:val="21"/>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rsid w:val="00AF14B1"/>
    <w:pPr>
      <w:tabs>
        <w:tab w:val="center" w:pos="4680"/>
        <w:tab w:val="right" w:pos="9360"/>
      </w:tabs>
      <w:spacing w:after="0"/>
    </w:pPr>
  </w:style>
  <w:style w:type="character" w:customStyle="1" w:styleId="FooterChar">
    <w:name w:val="Footer Char"/>
    <w:basedOn w:val="DefaultParagraphFont"/>
    <w:link w:val="Footer"/>
    <w:rsid w:val="00AF14B1"/>
  </w:style>
  <w:style w:type="character" w:styleId="PageNumber">
    <w:name w:val="page number"/>
    <w:basedOn w:val="DefaultParagraphFont"/>
    <w:rsid w:val="00AF14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33</Pages>
  <Words>11303</Words>
  <Characters>64428</Characters>
  <Application>Microsoft Office Word</Application>
  <DocSecurity>0</DocSecurity>
  <Lines>536</Lines>
  <Paragraphs>151</Paragraphs>
  <ScaleCrop>false</ScaleCrop>
  <Company/>
  <LinksUpToDate>false</LinksUpToDate>
  <CharactersWithSpaces>75580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Mohammadreza Alizadeh</cp:lastModifiedBy>
  <cp:revision>3</cp:revision>
  <dcterms:created xsi:type="dcterms:W3CDTF">2026-08-29T22:32:00Z</dcterms:created>
  <dcterms:modified xsi:type="dcterms:W3CDTF">2026-08-30T01:25:00Z</dcterms:modified>
</cp:coreProperties>
</file>