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Trees to Seas</w:t>
      </w:r>
    </w:p>
    <w:p>
      <w:pPr>
        <w:spacing w:after="60"/>
      </w:pPr>
      <w:r>
        <w:rPr>
          <w:b/>
          <w:bCs/>
          <w:color w:val="2E5E8C"/>
          <w:sz w:val="28"/>
          <w:szCs w:val="28"/>
        </w:rPr>
        <w:t xml:space="preserve">A Dynamic Physiological-Suitability Engine for North Carolina Coastal Fisheries</w:t>
      </w:r>
    </w:p>
    <w:p>
      <w:pPr>
        <w:spacing w:after="120" w:line="276"/>
      </w:pPr>
      <w:r>
        <w:rPr>
          <w:i/>
          <w:iCs/>
        </w:rPr>
        <w:t xml:space="preserve">Proof-of-concept proposal and modeling roadmap</w:t>
      </w:r>
    </w:p>
    <w:p>
      <w:pPr>
        <w:spacing w:after="120" w:line="276"/>
      </w:pPr>
      <w:r>
        <w:rPr>
          <w:b/>
          <w:bCs/>
        </w:rPr>
        <w:t xml:space="preserve">Prepared for: </w:t>
      </w:r>
      <w:r>
        <w:t xml:space="preserve">Dr. Daniel Rittschof, Duke University Marine Laboratory</w:t>
      </w:r>
    </w:p>
    <w:p>
      <w:pPr>
        <w:spacing w:after="120" w:line="276"/>
      </w:pPr>
      <w:r>
        <w:rPr>
          <w:b/>
          <w:bCs/>
        </w:rPr>
        <w:t xml:space="preserve">In collaboration with: </w:t>
      </w:r>
      <w:r>
        <w:t xml:space="preserve">the Duke Bass Connections oyster team (data via Ty; GitHub: oystersdukebc)</w:t>
      </w:r>
    </w:p>
    <w:p>
      <w:pPr>
        <w:spacing w:after="120" w:line="276"/>
      </w:pPr>
      <w:r>
        <w:rPr>
          <w:b/>
          <w:bCs/>
        </w:rPr>
        <w:t xml:space="preserve">Prepared by: </w:t>
      </w:r>
      <w:r>
        <w:t xml:space="preserve">[your name]</w:t>
      </w:r>
    </w:p>
    <w:p>
      <w:pPr>
        <w:spacing w:after="120" w:line="276"/>
      </w:pPr>
      <w:r>
        <w:rPr>
          <w:b/>
          <w:bCs/>
        </w:rPr>
        <w:t xml:space="preserve">Date: </w:t>
      </w:r>
      <w:r>
        <w:t xml:space="preserve">17 June 2026     </w:t>
      </w:r>
      <w:r>
        <w:rPr>
          <w:b/>
          <w:bCs/>
        </w:rPr>
        <w:t xml:space="preserve">Version: </w:t>
      </w:r>
      <w:r>
        <w:t xml:space="preserve">0.1 (companion to the treestoseas v0.1 repository)</w:t>
      </w:r>
    </w:p>
    <w:p>
      <w:pPr>
        <w:pBdr>
          <w:bottom w:val="single" w:color="2E5E8C" w:sz="6" w:space="2"/>
        </w:pBdr>
      </w:pPr>
    </w:p>
    <w:p>
      <w:pPr>
        <w:spacing w:before="120"/>
      </w:pPr>
      <w:r>
        <w:rPr>
          <w:b/>
          <w:bCs/>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spacing w:after="120" w:line="276"/>
      </w:pPr>
      <w:r>
        <w:t xml:space="preserve">North Carolina's fisheries are among the most heavily managed in the United States, yet several stocks keep declining — a pattern that echoes the Great Lakes collapse. The root limitation is that management treats estuarine water as a </w:t>
      </w:r>
      <w:r>
        <w:rPr>
          <w:b/>
          <w:bCs/>
        </w:rPr>
        <w:t xml:space="preserve">static backdrop</w:t>
      </w:r>
      <w:r>
        <w:t xml:space="preserve"> and regulates species one at a time within fixed salinity zones. But every commercially and ecologically important species has known temperature, salinity, and dissolved-oxygen tolerances, and estuarine conditions swing week to week. This project turns water into a </w:t>
      </w:r>
      <w:r>
        <w:rPr>
          <w:b/>
          <w:bCs/>
        </w:rPr>
        <w:t xml:space="preserve">dynamic, predictive habitat layer</w:t>
      </w:r>
      <w:r>
        <w:t xml:space="preserve">: drive per-species physiological </w:t>
      </w:r>
      <w:r>
        <w:rPr>
          <w:b/>
          <w:bCs/>
        </w:rPr>
        <w:t xml:space="preserve">suitability envelopes</w:t>
      </w:r>
      <w:r>
        <w:t xml:space="preserve"> with high-frequency water-quality time series to map </w:t>
      </w:r>
      <w:r>
        <w:rPr>
          <w:b/>
          <w:bCs/>
        </w:rPr>
        <w:t xml:space="preserve">when and where</w:t>
      </w:r>
      <w:r>
        <w:t xml:space="preserve"> each species is inside vs. outside its survivable range — resolving the sub-seasonal heat-and-hypoxia “squeeze” windows that a twice-a-year trawl survey structurally cannot capture.</w:t>
      </w:r>
    </w:p>
    <w:p>
      <w:pPr>
        <w:spacing w:after="120" w:line="276"/>
      </w:pPr>
      <w:r>
        <w:rPr>
          <w:b/>
          <w:bCs/>
        </w:rPr>
        <w:t xml:space="preserve">Why now, and why this is fundable: </w:t>
      </w:r>
      <w:r>
        <w:t xml:space="preserve">the proof-of-concept does not rest on a theoretical argument. It is </w:t>
      </w:r>
      <w:r>
        <w:rPr>
          <w:b/>
          <w:bCs/>
        </w:rPr>
        <w:t xml:space="preserve">validated against real biology</w:t>
      </w:r>
      <w:r>
        <w:t xml:space="preserve">. The Duke Bass Connections oyster team has collected paired data — high-frequency environmental sensors (temperature, dissolved oxygen, salinity, pH, precipitation) </w:t>
      </w:r>
      <w:r>
        <w:rPr>
          <w:i/>
          <w:iCs/>
        </w:rPr>
        <w:t xml:space="preserve">and</w:t>
      </w:r>
      <w:r>
        <w:t xml:space="preserve"> observed oyster mortality and growth — at working farm sites. That lets us test, directly, whether a mechanistic stress index predicts oyster survival. The engine is then generalized to the data-rich Neuse–Pamlico system.</w:t>
      </w:r>
    </w:p>
    <w:p>
      <w:pPr>
        <w:pBdr>
          <w:left w:val="single" w:color="4F8A4A" w:sz="18" w:space="8"/>
        </w:pBdr>
        <w:shd w:fill="EAF3E9" w:val="clear"/>
        <w:spacing w:after="160" w:before="120"/>
      </w:pPr>
      <w:r>
        <w:rPr>
          <w:b/>
          <w:bCs/>
        </w:rPr>
        <w:t xml:space="preserve">Central hypothesis. </w:t>
      </w:r>
      <w:r>
        <w:t xml:space="preserve">For estuarine species, sub-seasonal variation in physiological habitat suitability (temperature × salinity × dissolved oxygen) is large, spatially structured, and largely invisible to a twice-yearly survey; a continuous suitability/stress index built from existing high-frequency data will reveal recurring summer hypoxia-and-heat squeeze windows that better explain mortality and habitat loss than static, salinity-zone, single-species management.</w:t>
      </w:r>
    </w:p>
    <w:p>
      <w:pPr>
        <w:pStyle w:val="Heading1"/>
      </w:pPr>
      <w:r>
        <w:t xml:space="preserve">2. Background and motivation</w:t>
      </w:r>
    </w:p>
    <w:p>
      <w:pPr>
        <w:pStyle w:val="Heading2"/>
      </w:pPr>
      <w:r>
        <w:t xml:space="preserve">2.1 Heavily managed, still declining</w:t>
      </w:r>
    </w:p>
    <w:p>
      <w:pPr>
        <w:spacing w:after="120" w:line="276"/>
      </w:pPr>
      <w:r>
        <w:t xml:space="preserve">NC regulates each species individually, partitioned by static salinity zones, and leans on fishery-independent trawl surveys sampled only a few times per year. The result is biomass estimates built on temporally sparse snapshots, while the conditions that actually determine survival — summer heat, hypoxia, drought-driven salinity spikes, post-rainfall stratification — vary on the scale of days.</w:t>
      </w:r>
    </w:p>
    <w:p>
      <w:pPr>
        <w:pStyle w:val="Heading2"/>
      </w:pPr>
      <w:r>
        <w:t xml:space="preserve">2.2 The Great Lakes cautionary parallel</w:t>
      </w:r>
    </w:p>
    <w:p>
      <w:pPr>
        <w:spacing w:after="120" w:line="276"/>
      </w:pPr>
      <w:r>
        <w:t xml:space="preserve">The Great Lakes lost numerous fish taxa (26 extirpated from at least one lake, four globally extinct) under cumulative stressors plus species-by-species management. Lake sturgeon collapsed around the 1880s–1920s and never recovered. The lesson is not a single cause but the failure of a management paradigm that ignored cumulative, interacting stressors — exactly the blind spot a dynamic suitability model is built to address.</w:t>
      </w:r>
    </w:p>
    <w:p>
      <w:pPr>
        <w:pStyle w:val="Heading2"/>
      </w:pPr>
      <w:r>
        <w:t xml:space="preserve">2.3 The “trees to seas” land-use drivers</w:t>
      </w:r>
    </w:p>
    <w:p>
      <w:pPr>
        <w:spacing w:after="120" w:line="276"/>
      </w:pPr>
      <w:r>
        <w:t xml:space="preserve">NC's coastal plain is forest on a ~25-year harvest rotation, and the state is a top-three hog producer with dense poultry operations; clearing and runoff drive siltation, nutrient loading, and summer hypoxia that smother oyster reefs and silt over spawning beds. These drivers motivate why suitability collapses occur where and when they do — they are the context, while the model focuses on the water-quality-to-physiology link.</w:t>
      </w:r>
    </w:p>
    <w:p>
      <w:pPr>
        <w:pStyle w:val="Heading2"/>
      </w:pPr>
      <w:r>
        <w:t xml:space="preserve">2.4 The real, defensible gap (an important correction)</w:t>
      </w:r>
    </w:p>
    <w:p>
      <w:pPr>
        <w:pBdr>
          <w:left w:val="single" w:color="4F8A4A" w:sz="18" w:space="8"/>
        </w:pBdr>
        <w:shd w:fill="EAF3E9" w:val="clear"/>
        <w:spacing w:after="160" w:before="120"/>
      </w:pPr>
      <w:r>
        <w:rPr>
          <w:b/>
          <w:bCs/>
        </w:rPr>
        <w:t xml:space="preserve">Do not pitch this as “the survey ignores the water.” </w:t>
      </w:r>
      <w:r>
        <w:t xml:space="preserve">NC DMF Program 195 (the Pamlico Sound trawl survey) is </w:t>
      </w:r>
      <w:r>
        <w:rPr>
          <w:b/>
          <w:bCs/>
        </w:rPr>
        <w:t xml:space="preserve">stratified-random</w:t>
      </w:r>
      <w:r>
        <w:t xml:space="preserve"> and </w:t>
      </w:r>
      <w:r>
        <w:rPr>
          <w:b/>
          <w:bCs/>
        </w:rPr>
        <w:t xml:space="preserve">does record</w:t>
      </w:r>
      <w:r>
        <w:t xml:space="preserve"> surface/bottom temperature, salinity, dissolved oxygen, secchi (turbidity), and precipitation at every grid. The defensible, verifiable gap is </w:t>
      </w:r>
      <w:r>
        <w:rPr>
          <w:b/>
          <w:bCs/>
        </w:rPr>
        <w:t xml:space="preserve">coarse temporal resolution (June and September only) and under-use of those covariates</w:t>
      </w:r>
      <w:r>
        <w:t xml:space="preserve"> — not non-measurement. The whole proposal is built on that solid footing. (See Appendix A.)</w:t>
      </w:r>
    </w:p>
    <w:p>
      <w:pPr>
        <w:pStyle w:val="Heading1"/>
      </w:pPr>
      <w:r>
        <w:t xml:space="preserve">3. Objectives</w:t>
      </w:r>
    </w:p>
    <w:p>
      <w:pPr>
        <w:pStyle w:val="ListParagraph"/>
        <w:numPr>
          <w:ilvl w:val="0"/>
          <w:numId w:val="2"/>
        </w:numPr>
        <w:spacing w:after="80"/>
      </w:pPr>
      <w:r>
        <w:t xml:space="preserve">Lock the critique to the verified gap (twice-yearly snapshot resolution + covariate under-use), not the false “no covariates measured” claim.</w:t>
      </w:r>
    </w:p>
    <w:p>
      <w:pPr>
        <w:pStyle w:val="ListParagraph"/>
        <w:numPr>
          <w:ilvl w:val="0"/>
          <w:numId w:val="2"/>
        </w:numPr>
        <w:spacing w:after="80"/>
      </w:pPr>
      <w:r>
        <w:t xml:space="preserve">Stand up a reproducible Python pipeline that ingests the oyster team's environmental + biological data with QC and daily resampling.</w:t>
      </w:r>
    </w:p>
    <w:p>
      <w:pPr>
        <w:pStyle w:val="ListParagraph"/>
        <w:numPr>
          <w:ilvl w:val="0"/>
          <w:numId w:val="2"/>
        </w:numPr>
        <w:spacing w:after="80"/>
      </w:pPr>
      <w:r>
        <w:t xml:space="preserve">Compile a cited tolerance table (temperature, salinity, DO, pH min/optimum/max, plus degree-day base temperatures) for the focal species, flagging NC-specific vs. transferred values.</w:t>
      </w:r>
    </w:p>
    <w:p>
      <w:pPr>
        <w:pStyle w:val="ListParagraph"/>
        <w:numPr>
          <w:ilvl w:val="0"/>
          <w:numId w:val="2"/>
        </w:numPr>
        <w:spacing w:after="80"/>
      </w:pPr>
      <w:r>
        <w:t xml:space="preserve">Implement per-species suitability envelopes f(T,S,DO,pH) → [0,1] combined into a geometric-mean Habitat Suitability Index, plus a separate degree-day phenology layer.</w:t>
      </w:r>
    </w:p>
    <w:p>
      <w:pPr>
        <w:pStyle w:val="ListParagraph"/>
        <w:numPr>
          <w:ilvl w:val="0"/>
          <w:numId w:val="2"/>
        </w:numPr>
        <w:spacing w:after="80"/>
      </w:pPr>
      <w:r>
        <w:t xml:space="preserve">Validate the index against observed oyster mortality and growth (the headline result), and quantify the summer squeeze windows the snapshot survey misses.</w:t>
      </w:r>
    </w:p>
    <w:p>
      <w:pPr>
        <w:pStyle w:val="ListParagraph"/>
        <w:numPr>
          <w:ilvl w:val="0"/>
          <w:numId w:val="2"/>
        </w:numPr>
        <w:spacing w:after="80"/>
      </w:pPr>
      <w:r>
        <w:t xml:space="preserve">Package everything as a runnable, journaled repository so additional species, sites, and the Neuse–Pamlico data plug in later.</w:t>
      </w:r>
    </w:p>
    <w:p>
      <w:pPr>
        <w:pStyle w:val="Heading1"/>
      </w:pPr>
      <w:r>
        <w:t xml:space="preserve">4. Data — the key asset</w:t>
      </w:r>
    </w:p>
    <w:p>
      <w:pPr>
        <w:pStyle w:val="Heading2"/>
      </w:pPr>
      <w:r>
        <w:t xml:space="preserve">4.1 Primary (in hand): the Duke Bass Connections oyster dataset</w:t>
      </w:r>
    </w:p>
    <w:p>
      <w:pPr>
        <w:spacing w:after="120" w:line="276"/>
      </w:pPr>
      <w:r>
        <w:t xml:space="preserve">Source: </w:t>
      </w:r>
      <w:hyperlink w:history="1" r:id="rIdvfo1udraa8pt5egru0awt">
        <w:r>
          <w:rPr>
            <w:rStyle w:val="Hyperlink"/>
          </w:rPr>
          <w:t xml:space="preserve">github.com/oystersdukebc</w:t>
        </w:r>
      </w:hyperlink>
      <w:r>
        <w:t xml:space="preserve">. Sites: CMAST (Morehead City), DUML (Beaufort), and — in 2025–26 — Stump Sound and Ward Creek.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Data</w:t>
            </w:r>
          </w:p>
        </w:tc>
        <w:tc>
          <w:tcPr>
            <w:tcW w:type="dxa" w:w="3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Variables</w:t>
            </w:r>
          </w:p>
        </w:tc>
        <w:tc>
          <w:tcPr>
            <w:tcW w:type="dxa" w:w="2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Role in the model</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AverageCMASTtemp.csv / AverageDUMLtemp.csv</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Water temperature, dissolved oxygen (hourly), by site</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Environmental drivers</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environmental_data_{daily,hourly,5minute}.csv</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Long-format: temperature, salinity, pH, precipitation</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Environmental drivers (multi-resolution)</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2025–26 XLSX (DO, pH, Salinity, Precip; Cleaned/ per site)</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DO, Temp, pH, salinity (conductivity-derived)</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Environmental drivers (4 sites)</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MortalityContinuous.csv / OysterMortalityData_Processed.csv</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Per-bag survivorship over a biweekly census, by strain &amp; site</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Response variable (validation target)</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MortalityBySiteBinned.csv</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Survivorship by site/date with N, sd, se, ci</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Response variable (aggregated)</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growth_rates.csv</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Growth rate by strain/treatment/site, with CIs and p-values</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Response variable (growth)</w:t>
            </w:r>
          </w:p>
        </w:tc>
      </w:tr>
    </w:tbl>
    <w:p>
      <w:pPr>
        <w:spacing w:after="120" w:line="276"/>
      </w:pPr>
      <w:r>
        <w:rPr>
          <w:i/>
          <w:iCs/>
        </w:rPr>
        <w:t xml:space="preserve">This pairing of drivers and biological response is what elevates the proof-of-concept from a plausibility demo to a genuine validation.</w:t>
      </w:r>
    </w:p>
    <w:p>
      <w:pPr>
        <w:pStyle w:val="Heading2"/>
      </w:pPr>
      <w:r>
        <w:t xml:space="preserve">4.2 Generalization targets (Neuse–Pamlico)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Source</w:t>
            </w:r>
          </w:p>
        </w:tc>
        <w:tc>
          <w:tcPr>
            <w:tcW w:type="dxa" w:w="3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Variables</w:t>
            </w:r>
          </w:p>
        </w:tc>
        <w:tc>
          <w:tcPr>
            <w:tcW w:type="dxa" w:w="2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Access</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ModMon (Neuse River Estuary, UNC Paerl Lab)</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Temp, salinity, DO, turbidity, chlorophyll (1994–2021)</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SECOORA ERDDAP (erddapy), QARTOD flags</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USGS Fort Barnwell (02091814)</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River discharge (freshwater forcing)</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USGS NWIS (dataretrieval)</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NOAA CO-OPS Beaufort (8656483)</w:t>
            </w:r>
          </w:p>
        </w:tc>
        <w:tc>
          <w:tcPr>
            <w:tcW w:type="dxa" w:w="31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Water temperature (no salinity sensor)</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CO-OPS API (requests)</w:t>
            </w:r>
          </w:p>
        </w:tc>
      </w:tr>
    </w:tbl>
    <w:p>
      <w:pPr>
        <w:pBdr>
          <w:left w:val="single" w:color="4F8A4A" w:sz="18" w:space="8"/>
        </w:pBdr>
        <w:shd w:fill="EAF3E9" w:val="clear"/>
        <w:spacing w:after="160" w:before="120"/>
      </w:pPr>
      <w:r>
        <w:rPr>
          <w:b/>
          <w:bCs/>
        </w:rPr>
        <w:t xml:space="preserve">Scope note for Dr. Rittschof. </w:t>
      </w:r>
      <w:r>
        <w:t xml:space="preserve">We chose “Neuse–Pamlico first,” but the richest </w:t>
      </w:r>
      <w:r>
        <w:rPr>
          <w:i/>
          <w:iCs/>
        </w:rPr>
        <w:t xml:space="preserve">paired</w:t>
      </w:r>
      <w:r>
        <w:t xml:space="preserve"> data (environment + biological response) is the oyster-farm sites. The strongest path is to build and </w:t>
      </w:r>
      <w:r>
        <w:rPr>
          <w:b/>
          <w:bCs/>
        </w:rPr>
        <w:t xml:space="preserve">validate</w:t>
      </w:r>
      <w:r>
        <w:t xml:space="preserve"> the engine where we have ground-truth biology (oyster sites), then extend the environmental engine to the Neuse–Pamlico. This is a deliberate refinement to confirm.</w:t>
      </w:r>
    </w:p>
    <w:p>
      <w:pPr>
        <w:pStyle w:val="Heading1"/>
      </w:pPr>
      <w:r>
        <w:t xml:space="preserve">5. Approach and methods</w:t>
      </w:r>
    </w:p>
    <w:p>
      <w:pPr>
        <w:pStyle w:val="Heading2"/>
      </w:pPr>
      <w:r>
        <w:t xml:space="preserve">5.1 Suitability envelopes and the Habitat Suitability Index</w:t>
      </w:r>
    </w:p>
    <w:p>
      <w:pPr>
        <w:spacing w:after="120" w:line="276"/>
      </w:pPr>
      <w:r>
        <w:t xml:space="preserve">Each environmental factor maps to a [0,1] suitability via a transparent trapezoidal curve defined by min / optimum-low / optimum-high / max thresholds. Factors are combined into a single Habitat Suitability Index (HSI) using the geometric mean, so that any one lethal factor (for example, DO → 0) drives the whole HSI to zero. This is what captures a true hypoxia/heat “squeeze”; an arithmetic mean would mask it. A Liebig minimum-factor combiner is also provided and compared. The model is deliberately mechanistic and interpretable — not a machine-learned species-distribution model — because interpretability, not raw fit, is the point.</w:t>
      </w:r>
    </w:p>
    <w:p>
      <w:pPr>
        <w:pStyle w:val="Heading2"/>
      </w:pPr>
      <w:r>
        <w:t xml:space="preserve">5.2 Degree-days (phenology layer, kept honest)</w:t>
      </w:r>
    </w:p>
    <w:p>
      <w:pPr>
        <w:spacing w:after="120" w:line="276"/>
      </w:pPr>
      <w:r>
        <w:t xml:space="preserve">Degree-days predict the timing of development, spawning, and activity for cold-blooded animals and are well supported for pre-maturation growth (Neuheimer &amp; Taggart 2007 found accumulated degree-days explained &gt;92% of length-at-day variance across nine fish species). They are kept strictly separate from the survival envelope, because a plain degree-day sum breaks down near thermal extremes — upper-lethal limits and hypoxia are handled by the envelope, while degree-days only predict when favorable windows open.</w:t>
      </w:r>
    </w:p>
    <w:p>
      <w:pPr>
        <w:pStyle w:val="Heading2"/>
      </w:pPr>
      <w:r>
        <w:t xml:space="preserve">5.3 Validation against observed biology (the payoff)</w:t>
      </w:r>
    </w:p>
    <w:p>
      <w:pPr>
        <w:spacing w:after="120" w:line="276"/>
      </w:pPr>
      <w:r>
        <w:t xml:space="preserve">For each census interval at a site, we accumulate a stress load (mean of 1 − HSI, scaled by days) from the suitability time series, then test whether stress load rank-correlates with observed survivorship decrement / mortality. A positive, significant correlation — and an improvement over a temperature-only baseline — is the headline validation result. We also contrast modeled low-suitability windows with documented low-DO / fish-kill periods.</w:t>
      </w:r>
    </w:p>
    <w:p>
      <w:pPr>
        <w:pStyle w:val="Heading2"/>
      </w:pPr>
      <w:r>
        <w:t xml:space="preserve">5.4 Tooling: Python</w:t>
      </w:r>
    </w:p>
    <w:p>
      <w:pPr>
        <w:spacing w:after="120" w:line="276"/>
      </w:pPr>
      <w:r>
        <w:t xml:space="preserve">Recommended: Python. The machine-readable route to the generalization data is SECOORA ERDDAP, and erddapy gives clean, scriptable queries that preserve QC flags; pandas/xarray, dataretrieval (USGS), matplotlib, and scipy cover the rest of the pipeline in one coherent stack that also matches the oyster team's GitHub workflow. R remains fully capable (the team already uses tidyverse/Shiny), and the repository's loaders read their R-exported CSV/XLSX directly.</w:t>
      </w:r>
    </w:p>
    <w:p>
      <w:pPr>
        <w:pBdr>
          <w:left w:val="single" w:color="4F8A4A" w:sz="18" w:space="8"/>
        </w:pBdr>
        <w:shd w:fill="EAF3E9" w:val="clear"/>
        <w:spacing w:after="160" w:before="120"/>
      </w:pPr>
      <w:r>
        <w:rPr>
          <w:b/>
          <w:bCs/>
        </w:rPr>
        <w:t xml:space="preserve">Preliminary results — the engine already runs and validates. </w:t>
      </w:r>
      <w:r>
        <w:t xml:space="preserve">(1) The pipeline runs end-to-end on the real 2024–25 oyster data (CMAST/DUML: high-frequency environmental sensors + biweekly mortality censuses), journaling every stage. (2) More importantly, an </w:t>
      </w:r>
      <w:r>
        <w:rPr>
          <w:b/>
          <w:bCs/>
        </w:rPr>
        <w:t xml:space="preserve">independent test</w:t>
      </w:r>
      <w:r>
        <w:t xml:space="preserve"> against the NC Program 195 (Pamlico Sound Survey) trawl record, 1987–2021, </w:t>
      </w:r>
      <w:r>
        <w:rPr>
          <w:b/>
          <w:bCs/>
        </w:rPr>
        <w:t xml:space="preserve">supports the core thesis</w:t>
      </w:r>
      <w:r>
        <w:t xml:space="preserve">: using each tow's own bottom temperature, salinity, and dissolved oxygen with the </w:t>
      </w:r>
      <w:r>
        <w:rPr>
          <w:i/>
          <w:iCs/>
        </w:rPr>
        <w:t xml:space="preserve">literature-calibrated</w:t>
      </w:r>
      <w:r>
        <w:t xml:space="preserve"> envelopes (not fit to any catch data), the Habitat Suitability Index is a positive, highly significant predictor of where all three finfish/crustacean species are actually caught across 4,312 tows — Atlantic croaker ρ = +0.20, blue crab +0.16, southern flounder +0.14 (all p &lt; 1e-19; presence-AUC 0.55–0.59).</w:t>
      </w:r>
    </w:p>
    <w:p>
      <w:pPr>
        <w:spacing w:after="120" w:line="276"/>
      </w:pPr>
      <w:r>
        <w:rPr>
          <w:b/>
          <w:bCs/>
        </w:rPr>
        <w:t xml:space="preserve">Honest, species-specific read. </w:t>
      </w:r>
      <w:r>
        <w:t xml:space="preserve">Controlling for year (within-year correlation), the signal is </w:t>
      </w:r>
      <w:r>
        <w:rPr>
          <w:b/>
          <w:bCs/>
        </w:rPr>
        <w:t xml:space="preserve">robust for southern flounder</w:t>
      </w:r>
      <w:r>
        <w:t xml:space="preserve"> (median ρ = 0.15, positive in 89% of years), moderate and Sept-concentrated for croaker (0.11), and </w:t>
      </w:r>
      <w:r>
        <w:rPr>
          <w:b/>
          <w:bCs/>
        </w:rPr>
        <w:t xml:space="preserve">weak for blue crab</w:t>
      </w:r>
      <w:r>
        <w:t xml:space="preserve"> (0.02, positive in only 57% of years). That is exactly the expected pattern: blue crab's envelopes are entirely </w:t>
      </w:r>
      <w:r>
        <w:rPr>
          <w:i/>
          <w:iCs/>
        </w:rPr>
        <w:t xml:space="preserve">transferred</w:t>
      </w:r>
      <w:r>
        <w:t xml:space="preserve"> from other systems and its distribution is driven by behavior, migration, and life-stage salinity needs rather than simple bottom conditions. The validation therefore both confirms the approach and pinpoints where NC-specific calibration matters most.</w:t>
      </w:r>
    </w:p>
    <w:p>
      <w:pPr>
        <w:spacing w:after="60" w:before="120"/>
        <w:jc w:val="center"/>
      </w:pPr>
      <w:r>
        <w:drawing>
          <wp:inline distT="0" distB="0" distL="0" distR="0">
            <wp:extent cx="5715000" cy="1619250"/>
            <wp:effectExtent t="0" r="0" b="0" l="0"/>
            <wp:docPr id="1" name="validation" descr="Fraction of Program 195 tows where each species was present, by HSI decile" title="Suitability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19250"/>
                    </a:xfrm>
                    <a:prstGeom prst="rect">
                      <a:avLst/>
                    </a:prstGeom>
                  </pic:spPr>
                </pic:pic>
              </a:graphicData>
            </a:graphic>
          </wp:inline>
        </w:drawing>
      </w:r>
    </w:p>
    <w:p>
      <w:pPr>
        <w:spacing w:after="120" w:line="276"/>
      </w:pPr>
      <w:r>
        <w:rPr>
          <w:i/>
          <w:iCs/>
        </w:rPr>
        <w:t xml:space="preserve">Figure 1. Independent validation: fraction of Program 195 tows where each species was caught, by habitat-suitability decile (suitability computed from each tow's own bottom T/S/DO using the literature-calibrated envelopes). Occurrence rises with modeled suitability for all three species. Data: SEAMAP-SA Pamlico Sound Survey (NC DMF), used under the SEAMAP-SA Intellectual Property Protocol — not for redistribution.</w:t>
      </w:r>
    </w:p>
    <w:p>
      <w:pPr>
        <w:pStyle w:val="Heading1"/>
      </w:pPr>
      <w:r>
        <w:t xml:space="preserve">6. Research workflow — modeled on The AI Scientist</w:t>
      </w:r>
    </w:p>
    <w:p>
      <w:pPr>
        <w:spacing w:after="120" w:line="276"/>
      </w:pPr>
      <w:r>
        <w:t xml:space="preserve">The project's </w:t>
      </w:r>
      <w:r>
        <w:rPr>
          <w:b/>
          <w:bCs/>
        </w:rPr>
        <w:t xml:space="preserve">process</w:t>
      </w:r>
      <w:r>
        <w:t xml:space="preserve"> (not its AI content) is modeled on The AI Scientist (Lu et al., Nature 2026), which runs research as a single automated driver advancing through discrete stages, where each experiment is a journaled “node” that is automatically reviewed before the best one is carried forward. We adopt that scaffold because it gives a small project reproducibility, auditability, and explicit go/no-go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The AI Scientist (Lu et al. 2026)</w:t>
            </w:r>
          </w:p>
        </w:tc>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Trees to Seas implementation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Four-stage experiment progress manager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Stage 1 viability → Stage 2 envelope tuning → Stage 3 execution → Stage 4 ablation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Stage transitions on pre-defined criteria</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e.g. Stage 2 advances only if the full HSI beats the temperature-only baseline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Each experiment is a journaled, typed node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Structured journal.jsonl + final_info.json + best_node.json + notes.txt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LLM judge selects the best node to seed the next stage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Driver selects the best node (review score) and carries the best combiner forward</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Automated Reviewer (LLM ensemble, NeurIPS rubric)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Deterministic 5-dimension review rubric (upgradeable to an LLM reviewer)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Buggy nodes recorded, not fatal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Every stage is wrapped so failures are journaled, not crashes</w:t>
            </w:r>
          </w:p>
        </w:tc>
      </w:tr>
    </w:tbl>
    <w:p>
      <w:pPr>
        <w:spacing w:after="120" w:line="276"/>
      </w:pPr>
      <w:r>
        <w:rPr>
          <w:i/>
          <w:iCs/>
        </w:rPr>
        <w:t xml:space="preserve">Full mapping and rationale are in docs/methodology.md in the repository.</w:t>
      </w:r>
    </w:p>
    <w:p>
      <w:pPr>
        <w:pStyle w:val="Heading1"/>
      </w:pPr>
      <w:r>
        <w:t xml:space="preserve">7. Eight-week roadmap</w:t>
      </w:r>
    </w:p>
    <w:p>
      <w:pPr>
        <w:spacing w:after="120" w:line="276"/>
      </w:pPr>
      <w:r>
        <w:t xml:space="preserve">Because the primary data is already in hand, the schedule front-loads validation rather than data hunting.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Week</w:t>
            </w:r>
          </w:p>
        </w:tc>
        <w:tc>
          <w:tcPr>
            <w:tcW w:type="dxa" w:w="4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Goal</w:t>
            </w:r>
          </w:p>
        </w:tc>
        <w:tc>
          <w:tcPr>
            <w:tcW w:type="dxa" w:w="4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Deliverable</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1</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Lock scope + corrected framing; initialize repo; request FerryMon/post-2021 ModMon; sync data format with the oyster team</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One-page scope + corrected-facts sheet; reproducible repo (done in v0.1)</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Reliable ingestion + QC of all oyster sites/years (CSV + XLSX)</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Clean dataset + data-coverage figure</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Parameterize defensible, cited tolerance envelopes (NC vs. transferred)</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Versioned tolerance table + factor-curve panel</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4</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Implement + unit-test the HSI engine; calibrate against mortality</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Tested HSI module + per-site HSI time series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5</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Add the degree-day phenology layer with honest caveats</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GDD curves + predicted spawning/activity windows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6</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Headline figures: when/where suitability-vs-stress; quantify the snapshot gap</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Dynamic suitability maps + “what the snapshots miss” figure</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7</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Generalize: wire ERDDAP/USGS/NOAA; reproducibility hardening</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One-command-reproducible repo; optional Neuse demo</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8</w:t>
            </w:r>
          </w:p>
        </w:tc>
        <w:tc>
          <w:tcPr>
            <w:tcW w:type="dxa" w:w="4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Write proposal narrative around figures; advisor review packet</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Final proposal + roadmap + repo v0.2 + advisor question list</w:t>
            </w:r>
          </w:p>
        </w:tc>
      </w:tr>
    </w:tbl>
    <w:p>
      <w:pPr>
        <w:pStyle w:val="Heading1"/>
      </w:pPr>
      <w:r>
        <w:t xml:space="preserve">8. Deliverables</w:t>
      </w:r>
    </w:p>
    <w:p>
      <w:pPr>
        <w:pStyle w:val="ListParagraph"/>
        <w:numPr>
          <w:ilvl w:val="0"/>
          <w:numId w:val="3"/>
        </w:numPr>
        <w:spacing w:after="80"/>
      </w:pPr>
      <w:r>
        <w:t xml:space="preserve">This proposal + modeling roadmap document.</w:t>
      </w:r>
    </w:p>
    <w:p>
      <w:pPr>
        <w:pStyle w:val="ListParagraph"/>
        <w:numPr>
          <w:ilvl w:val="0"/>
          <w:numId w:val="3"/>
        </w:numPr>
        <w:spacing w:after="80"/>
      </w:pPr>
      <w:r>
        <w:t xml:space="preserve">A reproducible Python repository (treestoseas v0.1): ingestion → QC → HSI → degree-days → validation → figures, journaled per run.</w:t>
      </w:r>
    </w:p>
    <w:p>
      <w:pPr>
        <w:pStyle w:val="ListParagraph"/>
        <w:numPr>
          <w:ilvl w:val="0"/>
          <w:numId w:val="3"/>
        </w:numPr>
        <w:spacing w:after="80"/>
      </w:pPr>
      <w:r>
        <w:t xml:space="preserve">A cited species tolerance/parameter table with NC-specific vs. transferred values flagged.</w:t>
      </w:r>
    </w:p>
    <w:p>
      <w:pPr>
        <w:pStyle w:val="ListParagraph"/>
        <w:numPr>
          <w:ilvl w:val="0"/>
          <w:numId w:val="3"/>
        </w:numPr>
        <w:spacing w:after="80"/>
      </w:pPr>
      <w:r>
        <w:t xml:space="preserve">A tested HSI module (geometric-mean envelopes) and a separate degree-day module.</w:t>
      </w:r>
    </w:p>
    <w:p>
      <w:pPr>
        <w:pStyle w:val="ListParagraph"/>
        <w:numPr>
          <w:ilvl w:val="0"/>
          <w:numId w:val="3"/>
        </w:numPr>
        <w:spacing w:after="80"/>
      </w:pPr>
      <w:r>
        <w:t xml:space="preserve">The headline figure set: dynamic when/where suitability-vs-stress maps with observed oyster mortality overlaid.</w:t>
      </w:r>
    </w:p>
    <w:p>
      <w:pPr>
        <w:pStyle w:val="ListParagraph"/>
        <w:numPr>
          <w:ilvl w:val="0"/>
          <w:numId w:val="3"/>
        </w:numPr>
        <w:spacing w:after="80"/>
      </w:pPr>
      <w:r>
        <w:t xml:space="preserve">A corrected-facts crib sheet (Appendix A).</w:t>
      </w:r>
    </w:p>
    <w:p>
      <w:pPr>
        <w:pStyle w:val="ListParagraph"/>
        <w:numPr>
          <w:ilvl w:val="0"/>
          <w:numId w:val="3"/>
        </w:numPr>
        <w:spacing w:after="80"/>
      </w:pPr>
      <w:r>
        <w:t xml:space="preserve">An advisor packet: open questions and a data-coordination note for the oyster team; a generalization/validation plan for the Neuse–Pamlico.</w:t>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Risk</w:t>
            </w:r>
          </w:p>
        </w:tc>
        <w:tc>
          <w:tcPr>
            <w:tcW w:type="dxa" w:w="5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Mitigation</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Pitch resting on the false “no covariates” premise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Already corrected: lead with temporal-resolution + under-use; cite SEAMAP-SA (Appendix A)</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Tolerance thresholds transferred from other systems → false precision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Tag every value NC-specific vs. transferred; run a sensitivity pass; present HSI as a relative index</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FerryMon access is email-only and routes have been down since 2019</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Make the oyster sites + ModMon-via-ERDDAP primary; FerryMon a stretch goal</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Degree-days over-promise near thermal extremes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Keep degree-days as a timing layer only; the envelope handles upper-lethal limits and hypoxia</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Sensor gaps / cadence mismatch across sources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Resample to common daily/weekly cadence, carry QC flags, show coverage plots, never silently interpolate</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Landings declines mistaken for abundance declines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State the distinction explicitly; use croaker suitability-vs-landings as a feature, not a hidden assumption</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Scope creep into a validated SDM or multi-region build</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Hard-commit to oyster sites, the focal species, a mechanistic model, and sufficiency-style validation</w:t>
            </w:r>
          </w:p>
        </w:tc>
      </w:tr>
    </w:tbl>
    <w:p>
      <w:pPr>
        <w:pStyle w:val="Heading1"/>
      </w:pPr>
      <w:r>
        <w:t xml:space="preserve">10. Open questions</w:t>
      </w:r>
    </w:p>
    <w:p>
      <w:pPr>
        <w:pStyle w:val="Heading2"/>
      </w:pPr>
      <w:r>
        <w:t xml:space="preserve">For Dr. Rittschof</w:t>
      </w:r>
    </w:p>
    <w:p>
      <w:pPr>
        <w:pStyle w:val="ListParagraph"/>
        <w:numPr>
          <w:ilvl w:val="0"/>
          <w:numId w:val="3"/>
        </w:numPr>
        <w:spacing w:after="80"/>
      </w:pPr>
      <w:r>
        <w:t xml:space="preserve">Is the reframed critique (sub-seasonal resolution + covariate under-use, not “no covariates”) strong enough to anchor the proposal?</w:t>
      </w:r>
    </w:p>
    <w:p>
      <w:pPr>
        <w:pStyle w:val="ListParagraph"/>
        <w:numPr>
          <w:ilvl w:val="0"/>
          <w:numId w:val="3"/>
        </w:numPr>
        <w:spacing w:after="80"/>
      </w:pPr>
      <w:r>
        <w:t xml:space="preserve">Confirm the scope refinement: validate on the oyster sites first, then generalize the engine to the Neuse–Pamlico?</w:t>
      </w:r>
    </w:p>
    <w:p>
      <w:pPr>
        <w:pStyle w:val="ListParagraph"/>
        <w:numPr>
          <w:ilvl w:val="0"/>
          <w:numId w:val="3"/>
        </w:numPr>
        <w:spacing w:after="80"/>
      </w:pPr>
      <w:r>
        <w:t xml:space="preserve">Is the focal species set right (eastern oyster anchor; blue crab, southern flounder, Atlantic croaker)? Add river herring?</w:t>
      </w:r>
    </w:p>
    <w:p>
      <w:pPr>
        <w:pStyle w:val="ListParagraph"/>
        <w:numPr>
          <w:ilvl w:val="0"/>
          <w:numId w:val="3"/>
        </w:numPr>
        <w:spacing w:after="80"/>
      </w:pPr>
      <w:r>
        <w:t xml:space="preserve">Is the geometric-mean HSI (any lethal factor zeros suitability) the right combiner, or do you prefer a Liebig minimum-factor approach?</w:t>
      </w:r>
    </w:p>
    <w:p>
      <w:pPr>
        <w:pStyle w:val="ListParagraph"/>
        <w:numPr>
          <w:ilvl w:val="0"/>
          <w:numId w:val="3"/>
        </w:numPr>
        <w:spacing w:after="80"/>
      </w:pPr>
      <w:r>
        <w:t xml:space="preserve">What validation bar do you expect — is the sufficiency demo enough, or do you want a quantitative comparison against Program 195 catch indices?</w:t>
      </w:r>
    </w:p>
    <w:p>
      <w:pPr>
        <w:pStyle w:val="ListParagraph"/>
        <w:numPr>
          <w:ilvl w:val="0"/>
          <w:numId w:val="3"/>
        </w:numPr>
        <w:spacing w:after="80"/>
      </w:pPr>
      <w:r>
        <w:t xml:space="preserve">Should the land-use “trees to seas” driver narrative be carried explicitly, or kept to the significance section?</w:t>
      </w:r>
    </w:p>
    <w:p>
      <w:pPr>
        <w:pStyle w:val="Heading2"/>
      </w:pPr>
      <w:r>
        <w:t xml:space="preserve">For the oyster team (Ty / Juliet / Mihir)</w:t>
      </w:r>
    </w:p>
    <w:p>
      <w:pPr>
        <w:pStyle w:val="ListParagraph"/>
        <w:numPr>
          <w:ilvl w:val="0"/>
          <w:numId w:val="3"/>
        </w:numPr>
        <w:spacing w:after="80"/>
      </w:pPr>
      <w:r>
        <w:t xml:space="preserve">What are the units, sensor models, and known QC issues for the CMAST/DUML/Stump Sound/Ward Creek sensors?</w:t>
      </w:r>
    </w:p>
    <w:p>
      <w:pPr>
        <w:pStyle w:val="ListParagraph"/>
        <w:numPr>
          <w:ilvl w:val="0"/>
          <w:numId w:val="3"/>
        </w:numPr>
        <w:spacing w:after="80"/>
      </w:pPr>
      <w:r>
        <w:t xml:space="preserve">What do the oyster strains (BS, CN, CS, SJ) and treatments (50/100 starting density) denote, and which are most comparable?</w:t>
      </w:r>
    </w:p>
    <w:p>
      <w:pPr>
        <w:pStyle w:val="ListParagraph"/>
        <w:numPr>
          <w:ilvl w:val="0"/>
          <w:numId w:val="3"/>
        </w:numPr>
        <w:spacing w:after="80"/>
      </w:pPr>
      <w:r>
        <w:t xml:space="preserve">Is salinity in the 2024–25 data conductivity-derived, and what conversion was used?</w:t>
      </w:r>
    </w:p>
    <w:p>
      <w:pPr>
        <w:pStyle w:val="ListParagraph"/>
        <w:numPr>
          <w:ilvl w:val="0"/>
          <w:numId w:val="3"/>
        </w:numPr>
        <w:spacing w:after="80"/>
      </w:pPr>
      <w:r>
        <w:t xml:space="preserve">Can we get post-2024 cleaned files and a stable data-format contract so the pipeline ingests new seasons automatically?</w:t>
      </w:r>
    </w:p>
    <w:p>
      <w:r>
        <w:br w:type="page"/>
      </w:r>
    </w:p>
    <w:p>
      <w:pPr>
        <w:pStyle w:val="Heading1"/>
      </w:pPr>
      <w:r>
        <w:t xml:space="preserve">Appendix A — Corrected-facts crib sheet</w:t>
      </w:r>
    </w:p>
    <w:p>
      <w:pPr>
        <w:spacing w:after="120" w:line="276"/>
      </w:pPr>
      <w:r>
        <w:t xml:space="preserve">The original brainstorming notes contained several factual errors, fact-checked against NOAA, USGS, NC DMF, UNC/Duke, and APNEP sources. Several are load-bearing.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Claim in the notes</w:t>
            </w:r>
          </w:p>
        </w:tc>
        <w:tc>
          <w:tcPr>
            <w:tcW w:type="dxa" w:w="5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after="0"/>
            </w:pPr>
            <w:r>
              <w:rPr>
                <w:b/>
                <w:bCs/>
              </w:rPr>
              <w:t xml:space="preserve">Corrected</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Menhaden killed in Chicago, 1964</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Alewife (Alosa pseudoharengus) die-off, Lake Michigan / Chicago shoreline, 1967. Menhaden are absent from the Great Lakes.</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~20 species extinct in the Great Lakes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26 fish extirpated from ≥1 lake, 4 globally extinct (DFO checklist). “~20” only as a loose figure.</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Sturgeon collapsed in the 1960s–70s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Lake sturgeon collapsed ~1880s–1920s; ~1% of historic abundance today. The 1960s–70s is when blue pike went extinct.</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Cisco/whitefish lost mainly to logging siltation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Primary drivers: overfishing + invasives; siltation contributing, not the lead cause, and not attributed to logging.</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2nd-largest estuary in the world</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“2nd-largest estuarine complex in the lower 48” (APNEP). Pamlico Sound is the largest embayed estuary in the world — keep distinct.</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Program 195 ignores salinity/rainfall/turbidity/temperature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FALSE. Program 195 is stratified-random and records temp, salinity, DO, secchi (turbidity), precipitation at every grid. Real critique: twice-yearly resolution + covariate under-use.</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NC #2 in hog production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 in total hog inventory (Iowa, Minnesota ahead); ~#2 in the breeding herd. State metric + year.</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Hogs = #1 nutrient-pollution source in NC</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Poultry has overtaken swine (~3× the N, ~6× the P; NC DEQ 2017).</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Croaker/spot “crashed ~97%”</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That is a landings decline, not abundance — NC surveys show croaker/spot remain among the most abundant estuarine fish.</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Drought pushes crabs into freshwater and they die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Backwards: drought raises salinity; higher salinity correlates with lower crab abundance and faster Hematodinium spread.</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FerryMon = clean continuous 20-yr record</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FerryMon (not “Fairymon”) is NOT continuous: funding gap after ~2016; routes down since 2019/2021. Treat as a stretch goal.</w:t>
            </w:r>
          </w:p>
        </w:tc>
      </w:tr>
      <w:tr>
        <w:trPr>
          <w:tblHeader w:val="false"/>
        </w:trP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Cape Hatteras NERR (Beaufort)</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No Cape Hatteras NERR. NC NERR: Currituck Banks, Rachel Carson (Beaufort), Masonboro Island, Zeke's Island.</w:t>
            </w:r>
          </w:p>
        </w:tc>
      </w:tr>
    </w:tbl>
    <w:p>
      <w:pPr>
        <w:pStyle w:val="Heading1"/>
      </w:pPr>
      <w:r>
        <w:t xml:space="preserve">References</w:t>
      </w:r>
    </w:p>
    <w:p>
      <w:pPr>
        <w:spacing w:after="120" w:line="276"/>
      </w:pPr>
      <w:r>
        <w:t xml:space="preserve">Lu, C., Lu, C., Lange, R. T., Yamada, Y., Hu, S., Foerster, J., Ha, D., &amp; Clune, J. (2026). Towards end-to-end automation of AI research. Nature, 651, 914–919. https://doi.org/10.1038/s41586-026-10265-5</w:t>
      </w:r>
    </w:p>
    <w:p>
      <w:pPr>
        <w:spacing w:after="120" w:line="276"/>
      </w:pPr>
      <w:r>
        <w:t xml:space="preserve">Neuheimer, A. B., &amp; Taggart, C. T. (2007). The growing degree-day and fish size-at-age: the overlooked metric. Canadian Journal of Fisheries and Aquatic Sciences, 64(2), 375–385.</w:t>
      </w:r>
    </w:p>
    <w:p>
      <w:pPr>
        <w:spacing w:after="120" w:line="276"/>
      </w:pPr>
      <w:r>
        <w:t xml:space="preserve">Albemarle-Pamlico National Estuary Partnership (APNEP). Comprehensive Conservation and Management Plan.</w:t>
      </w:r>
    </w:p>
    <w:p>
      <w:pPr>
        <w:spacing w:after="120" w:line="276"/>
      </w:pPr>
      <w:r>
        <w:t xml:space="preserve">SEAMAP-South Atlantic / NC Division of Marine Fisheries. Pamlico Sound Survey (Program 195), Abundance &amp; Biomass extract, 1987–2021, obtained via the SEAMAP-SA Data Portal (seamap.org/data-portal) under the SEAMAP-SA Intellectual Property Protocol. Used for the Figure 1 validation; not redistributed.</w:t>
      </w:r>
    </w:p>
    <w:p>
      <w:pPr>
        <w:spacing w:after="120" w:line="276"/>
      </w:pPr>
      <w:r>
        <w:t xml:space="preserve">NC Department of Environmental Quality (2017). Basinwide Manure Production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Trees to Seas — Proposal &amp; Modeling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E8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fo1udraa8pt5egru0awt" Type="http://schemas.openxmlformats.org/officeDocument/2006/relationships/hyperlink" Target="https://github.com/oystersdukebc" TargetMode="External"/><Relationship Id="rId9" Type="http://schemas.openxmlformats.org/officeDocument/2006/relationships/image" Target="media/a4f63547fb2afb53f99978a162d262a3cb441e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Trees to Seas — Proposal and Modeling Roadmap</dc:title>
  <dc:creator>Trees to Seas</dc:creator>
  <cp:lastModifiedBy>Un-named</cp:lastModifiedBy>
  <cp:revision>1</cp:revision>
  <dcterms:created xsi:type="dcterms:W3CDTF">2026-06-17T11:06:45.485Z</dcterms:created>
  <dcterms:modified xsi:type="dcterms:W3CDTF">2026-06-17T11:06:45.492Z</dcterms:modified>
</cp:coreProperties>
</file>

<file path=docProps/custom.xml><?xml version="1.0" encoding="utf-8"?>
<Properties xmlns="http://schemas.openxmlformats.org/officeDocument/2006/custom-properties" xmlns:vt="http://schemas.openxmlformats.org/officeDocument/2006/docPropsVTypes"/>
</file>