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Lato" w:cs="Lato" w:eastAsia="Lato" w:hAnsi="Lato"/>
          <w:b/>
          <w:bCs/>
          <w:color w:val="C5A572"/>
          <w:spacing w:val="80"/>
          <w:sz w:val="18"/>
          <w:szCs w:val="18"/>
        </w:rPr>
        <w:t xml:space="preserve">CHENEVAL ADVISORY</w:t>
      </w:r>
    </w:p>
    <w:p>
      <w:pPr>
        <w:pBdr>
          <w:bottom w:val="single" w:color="C5A572" w:sz="12" w:space="1"/>
        </w:pBdr>
        <w:spacing w:after="180"/>
      </w:pPr>
      <w:r>
        <w:t xml:space="preserve"/>
      </w:r>
    </w:p>
    <w:p>
      <w:pPr>
        <w:spacing w:after="20"/>
      </w:pPr>
      <w:r>
        <w:rPr>
          <w:rFonts w:ascii="Lato" w:cs="Lato" w:eastAsia="Lato" w:hAnsi="Lato"/>
          <w:b/>
          <w:bCs/>
          <w:color w:val="C5A572"/>
          <w:spacing w:val="60"/>
          <w:sz w:val="12"/>
          <w:szCs w:val="12"/>
        </w:rPr>
        <w:t xml:space="preserve">FRAMEWORK</w:t>
      </w:r>
    </w:p>
    <w:p>
      <w:pPr>
        <w:spacing w:after="50"/>
      </w:pPr>
      <w:r>
        <w:rPr>
          <w:rFonts w:ascii="Cormorant Garamond" w:cs="Cormorant Garamond" w:eastAsia="Cormorant Garamond" w:hAnsi="Cormorant Garamond"/>
          <w:color w:val="0E2240"/>
          <w:sz w:val="40"/>
          <w:szCs w:val="40"/>
        </w:rPr>
        <w:t xml:space="preserve">Measuring the ROI of AI.</w:t>
      </w:r>
    </w:p>
    <w:p>
      <w:pPr>
        <w:spacing w:after="160"/>
      </w:pPr>
      <w:r>
        <w:rPr>
          <w:rFonts w:ascii="Cormorant Garamond" w:cs="Cormorant Garamond" w:eastAsia="Cormorant Garamond" w:hAnsi="Cormorant Garamond"/>
          <w:i/>
          <w:iCs/>
          <w:color w:val="5A6473"/>
          <w:sz w:val="20"/>
          <w:szCs w:val="20"/>
        </w:rPr>
        <w:t xml:space="preserve">Three measures that turn AI experimentation into a number the business can stand behind.</w:t>
      </w:r>
    </w:p>
    <w:p>
      <w:pPr>
        <w:spacing w:after="160" w:line="280"/>
      </w:pPr>
      <w:r>
        <w:rPr>
          <w:rFonts w:ascii="Lato" w:cs="Lato" w:eastAsia="Lato" w:hAnsi="Lato"/>
          <w:color w:val="1A1A1A"/>
          <w:sz w:val="19"/>
          <w:szCs w:val="19"/>
        </w:rPr>
        <w:t xml:space="preserve">Most organisations are running AI pilots. Very few can prove what they are getting back. The gap is rarely the technology, it is the absence of a baseline. These three measures, used together, answer the question every leader is asking: </w:t>
      </w:r>
      <w:r>
        <w:rPr>
          <w:rFonts w:ascii="Lato" w:cs="Lato" w:eastAsia="Lato" w:hAnsi="Lato"/>
          <w:i/>
          <w:iCs/>
          <w:color w:val="0E2240"/>
          <w:sz w:val="19"/>
          <w:szCs w:val="19"/>
        </w:rPr>
        <w:t xml:space="preserve">is this actually working?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240" w:val="clear"/>
            <w:tcMar>
              <w:top w:type="dxa" w:w="160"/>
              <w:left w:type="dxa" w:w="0"/>
              <w:bottom w:type="dxa" w:w="16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Cormorant Garamond" w:cs="Cormorant Garamond" w:eastAsia="Cormorant Garamond" w:hAnsi="Cormorant Garamond"/>
                <w:color w:val="C5A572"/>
                <w:sz w:val="40"/>
                <w:szCs w:val="40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EA" w:val="clear"/>
            <w:tcMar>
              <w:top w:type="dxa" w:w="160"/>
              <w:left w:type="dxa" w:w="280"/>
              <w:bottom w:type="dxa" w:w="160"/>
              <w:right w:type="dxa" w:w="280"/>
            </w:tcMar>
            <w:vAlign w:val="top"/>
          </w:tcPr>
          <w:p>
            <w:pPr>
              <w:spacing w:after="50"/>
            </w:pPr>
            <w:r>
              <w:rPr>
                <w:rFonts w:ascii="Cormorant Garamond" w:cs="Cormorant Garamond" w:eastAsia="Cormorant Garamond" w:hAnsi="Cormorant Garamond"/>
                <w:color w:val="0E2240"/>
                <w:sz w:val="24"/>
                <w:szCs w:val="24"/>
              </w:rPr>
              <w:t xml:space="preserve">Time in process, before and after.</w:t>
            </w:r>
          </w:p>
          <w:p>
            <w:pPr>
              <w:spacing w:after="60" w:line="260"/>
            </w:pPr>
            <w:r>
              <w:rPr>
                <w:rFonts w:ascii="Lato" w:cs="Lato" w:eastAsia="Lato" w:hAnsi="Lato"/>
                <w:color w:val="1A1A1A"/>
                <w:sz w:val="18"/>
                <w:szCs w:val="18"/>
              </w:rPr>
              <w:t xml:space="preserve">The foundation measure. Pick a real process, time it as it runs today, redesign it with AI, then time it again. Same process, same people, same quality bar.</w:t>
            </w:r>
          </w:p>
          <w:p>
            <w:pPr>
              <w:spacing w:after="60" w:line="260"/>
            </w:pPr>
            <w:r>
              <w:rPr>
                <w:rFonts w:ascii="Lato" w:cs="Lato" w:eastAsia="Lato" w:hAnsi="Lato"/>
                <w:b/>
                <w:bCs/>
                <w:color w:val="0E2240"/>
                <w:sz w:val="17"/>
                <w:szCs w:val="17"/>
              </w:rPr>
              <w:t xml:space="preserve">How.  </w:t>
            </w:r>
            <w:r>
              <w:rPr>
                <w:rFonts w:ascii="Lato" w:cs="Lato" w:eastAsia="Lato" w:hAnsi="Lato"/>
                <w:color w:val="1A1A1A"/>
                <w:sz w:val="17"/>
                <w:szCs w:val="17"/>
              </w:rPr>
              <w:t xml:space="preserve">Baseline before AI is introduced, not from memory afterwards. Measure the whole process end to end, including review time, so the gain is honest.</w:t>
            </w:r>
          </w:p>
          <w:p>
            <w:pPr>
              <w:spacing w:after="0" w:line="260"/>
            </w:pPr>
            <w:r>
              <w:rPr>
                <w:rFonts w:ascii="Lato" w:cs="Lato" w:eastAsia="Lato" w:hAnsi="Lato"/>
                <w:b/>
                <w:bCs/>
                <w:color w:val="0E2240"/>
                <w:sz w:val="17"/>
                <w:szCs w:val="17"/>
              </w:rPr>
              <w:t xml:space="preserve">The number.  </w:t>
            </w:r>
            <w:r>
              <w:rPr>
                <w:rFonts w:ascii="Lato" w:cs="Lato" w:eastAsia="Lato" w:hAnsi="Lato"/>
                <w:color w:val="1A1A1A"/>
                <w:sz w:val="17"/>
                <w:szCs w:val="17"/>
              </w:rPr>
              <w:t xml:space="preserve">Hours saved per cycle, multiplied by how often the process runs. This is the unit everything else is built from.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240" w:val="clear"/>
            <w:tcMar>
              <w:top w:type="dxa" w:w="160"/>
              <w:left w:type="dxa" w:w="0"/>
              <w:bottom w:type="dxa" w:w="16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Cormorant Garamond" w:cs="Cormorant Garamond" w:eastAsia="Cormorant Garamond" w:hAnsi="Cormorant Garamond"/>
                <w:color w:val="C5A572"/>
                <w:sz w:val="40"/>
                <w:szCs w:val="40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EA" w:val="clear"/>
            <w:tcMar>
              <w:top w:type="dxa" w:w="160"/>
              <w:left w:type="dxa" w:w="280"/>
              <w:bottom w:type="dxa" w:w="160"/>
              <w:right w:type="dxa" w:w="280"/>
            </w:tcMar>
            <w:vAlign w:val="top"/>
          </w:tcPr>
          <w:p>
            <w:pPr>
              <w:spacing w:after="50"/>
            </w:pPr>
            <w:r>
              <w:rPr>
                <w:rFonts w:ascii="Cormorant Garamond" w:cs="Cormorant Garamond" w:eastAsia="Cormorant Garamond" w:hAnsi="Cormorant Garamond"/>
                <w:color w:val="0E2240"/>
                <w:sz w:val="24"/>
                <w:szCs w:val="24"/>
              </w:rPr>
              <w:t xml:space="preserve">Capacity gained.</w:t>
            </w:r>
          </w:p>
          <w:p>
            <w:pPr>
              <w:spacing w:after="60" w:line="260"/>
            </w:pPr>
            <w:r>
              <w:rPr>
                <w:rFonts w:ascii="Lato" w:cs="Lato" w:eastAsia="Lato" w:hAnsi="Lato"/>
                <w:color w:val="1A1A1A"/>
                <w:sz w:val="18"/>
                <w:szCs w:val="18"/>
              </w:rPr>
              <w:t xml:space="preserve">The business translation. Time saved across processes and people rolls up into capacity: work the team can now do that it could not do before, or headcount it no longer needs to add.</w:t>
            </w:r>
          </w:p>
          <w:p>
            <w:pPr>
              <w:spacing w:after="60" w:line="260"/>
            </w:pPr>
            <w:r>
              <w:rPr>
                <w:rFonts w:ascii="Lato" w:cs="Lato" w:eastAsia="Lato" w:hAnsi="Lato"/>
                <w:b/>
                <w:bCs/>
                <w:color w:val="0E2240"/>
                <w:sz w:val="17"/>
                <w:szCs w:val="17"/>
              </w:rPr>
              <w:t xml:space="preserve">How.  </w:t>
            </w:r>
            <w:r>
              <w:rPr>
                <w:rFonts w:ascii="Lato" w:cs="Lato" w:eastAsia="Lato" w:hAnsi="Lato"/>
                <w:color w:val="1A1A1A"/>
                <w:sz w:val="17"/>
                <w:szCs w:val="17"/>
              </w:rPr>
              <w:t xml:space="preserve">Aggregate verified time savings across the team and convert to full-time equivalents. Then show where that capacity went: new projects, faster delivery, reduced backlog, or avoided hires.</w:t>
            </w:r>
          </w:p>
          <w:p>
            <w:pPr>
              <w:spacing w:after="0" w:line="260"/>
            </w:pPr>
            <w:r>
              <w:rPr>
                <w:rFonts w:ascii="Lato" w:cs="Lato" w:eastAsia="Lato" w:hAnsi="Lato"/>
                <w:b/>
                <w:bCs/>
                <w:color w:val="0E2240"/>
                <w:sz w:val="17"/>
                <w:szCs w:val="17"/>
              </w:rPr>
              <w:t xml:space="preserve">The number.  </w:t>
            </w:r>
            <w:r>
              <w:rPr>
                <w:rFonts w:ascii="Lato" w:cs="Lato" w:eastAsia="Lato" w:hAnsi="Lato"/>
                <w:color w:val="1A1A1A"/>
                <w:sz w:val="17"/>
                <w:szCs w:val="17"/>
              </w:rPr>
              <w:t xml:space="preserve">FTE equivalent and its dollar value. This is the number leadership banks, and the one that survives scrutiny in a budget conversation.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240" w:val="clear"/>
            <w:tcMar>
              <w:top w:type="dxa" w:w="160"/>
              <w:left w:type="dxa" w:w="0"/>
              <w:bottom w:type="dxa" w:w="16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Cormorant Garamond" w:cs="Cormorant Garamond" w:eastAsia="Cormorant Garamond" w:hAnsi="Cormorant Garamond"/>
                <w:color w:val="C5A572"/>
                <w:sz w:val="40"/>
                <w:szCs w:val="40"/>
              </w:rPr>
              <w:t xml:space="preserve">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EA" w:val="clear"/>
            <w:tcMar>
              <w:top w:type="dxa" w:w="160"/>
              <w:left w:type="dxa" w:w="280"/>
              <w:bottom w:type="dxa" w:w="160"/>
              <w:right w:type="dxa" w:w="280"/>
            </w:tcMar>
            <w:vAlign w:val="top"/>
          </w:tcPr>
          <w:p>
            <w:pPr>
              <w:spacing w:after="50"/>
            </w:pPr>
            <w:r>
              <w:rPr>
                <w:rFonts w:ascii="Cormorant Garamond" w:cs="Cormorant Garamond" w:eastAsia="Cormorant Garamond" w:hAnsi="Cormorant Garamond"/>
                <w:color w:val="0E2240"/>
                <w:sz w:val="24"/>
                <w:szCs w:val="24"/>
              </w:rPr>
              <w:t xml:space="preserve">Usage.</w:t>
            </w:r>
          </w:p>
          <w:p>
            <w:pPr>
              <w:spacing w:after="60" w:line="260"/>
            </w:pPr>
            <w:r>
              <w:rPr>
                <w:rFonts w:ascii="Lato" w:cs="Lato" w:eastAsia="Lato" w:hAnsi="Lato"/>
                <w:color w:val="1A1A1A"/>
                <w:sz w:val="18"/>
                <w:szCs w:val="18"/>
              </w:rPr>
              <w:t xml:space="preserve">The leading indicator. Value only appears where AI is actually being used, so usage tells you where value is coming next, and where adoption support is needed.</w:t>
            </w:r>
          </w:p>
          <w:p>
            <w:pPr>
              <w:spacing w:after="60" w:line="260"/>
            </w:pPr>
            <w:r>
              <w:rPr>
                <w:rFonts w:ascii="Lato" w:cs="Lato" w:eastAsia="Lato" w:hAnsi="Lato"/>
                <w:b/>
                <w:bCs/>
                <w:color w:val="0E2240"/>
                <w:sz w:val="17"/>
                <w:szCs w:val="17"/>
              </w:rPr>
              <w:t xml:space="preserve">How.  </w:t>
            </w:r>
            <w:r>
              <w:rPr>
                <w:rFonts w:ascii="Lato" w:cs="Lato" w:eastAsia="Lato" w:hAnsi="Lato"/>
                <w:color w:val="1A1A1A"/>
                <w:sz w:val="17"/>
                <w:szCs w:val="17"/>
              </w:rPr>
              <w:t xml:space="preserve">Track active users, frequency, and which workflows AI is embedded in. Watch the spread: a few power users means enablement is not landing; broad steady use means the gains will follow.</w:t>
            </w:r>
          </w:p>
          <w:p>
            <w:pPr>
              <w:spacing w:after="0" w:line="260"/>
            </w:pPr>
            <w:r>
              <w:rPr>
                <w:rFonts w:ascii="Lato" w:cs="Lato" w:eastAsia="Lato" w:hAnsi="Lato"/>
                <w:b/>
                <w:bCs/>
                <w:color w:val="0E2240"/>
                <w:sz w:val="17"/>
                <w:szCs w:val="17"/>
              </w:rPr>
              <w:t xml:space="preserve">The number.  </w:t>
            </w:r>
            <w:r>
              <w:rPr>
                <w:rFonts w:ascii="Lato" w:cs="Lato" w:eastAsia="Lato" w:hAnsi="Lato"/>
                <w:color w:val="1A1A1A"/>
                <w:sz w:val="17"/>
                <w:szCs w:val="17"/>
              </w:rPr>
              <w:t xml:space="preserve">Percentage of the team using AI weekly in real work. Usage is not value on its own, but no usage guarantees no value.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240" w:val="clear"/>
            <w:tcMar>
              <w:top w:type="dxa" w:w="240"/>
              <w:left w:type="dxa" w:w="420"/>
              <w:bottom w:type="dxa" w:w="240"/>
              <w:right w:type="dxa" w:w="420"/>
            </w:tcMar>
          </w:tcPr>
          <w:p>
            <w:pPr>
              <w:spacing w:after="80"/>
            </w:pPr>
            <w:r>
              <w:rPr>
                <w:rFonts w:ascii="Lato" w:cs="Lato" w:eastAsia="Lato" w:hAnsi="Lato"/>
                <w:b/>
                <w:bCs/>
                <w:color w:val="C5A572"/>
                <w:spacing w:val="60"/>
                <w:sz w:val="12"/>
                <w:szCs w:val="12"/>
              </w:rPr>
              <w:t xml:space="preserve">HOW THE THREE FIT TOGETHER</w:t>
            </w:r>
          </w:p>
          <w:p>
            <w:pPr>
              <w:spacing w:after="0" w:line="300"/>
            </w:pPr>
            <w:r>
              <w:rPr>
                <w:rFonts w:ascii="Cormorant Garamond" w:cs="Cormorant Garamond" w:eastAsia="Cormorant Garamond" w:hAnsi="Cormorant Garamond"/>
                <w:i/>
                <w:iCs/>
                <w:color w:val="F5F2EC"/>
                <w:sz w:val="21"/>
                <w:szCs w:val="21"/>
              </w:rPr>
              <w:t xml:space="preserve">Usage tells you adoption is happening. Time tells you where the value is. Capacity is what the business banks. Measured together, they took one 34-person team from minimal AI usage to a verified return equivalent to 8 full-time staff in 12 months.</w:t>
            </w:r>
          </w:p>
        </w:tc>
      </w:tr>
    </w:tbl>
    <w:p>
      <w:pPr>
        <w:pBdr>
          <w:top w:val="single" w:color="C5A572" w:sz="6" w:space="1"/>
        </w:pBdr>
        <w:spacing w:before="200"/>
      </w:pPr>
      <w:r>
        <w:t xml:space="preserve"/>
      </w:r>
    </w:p>
    <w:p>
      <w:pPr>
        <w:spacing w:after="0" w:before="90"/>
      </w:pPr>
      <w:r>
        <w:rPr>
          <w:rFonts w:ascii="Cormorant Garamond" w:cs="Cormorant Garamond" w:eastAsia="Cormorant Garamond" w:hAnsi="Cormorant Garamond"/>
          <w:b/>
          <w:bCs/>
          <w:color w:val="0E2240"/>
          <w:sz w:val="13"/>
          <w:szCs w:val="13"/>
        </w:rPr>
        <w:t xml:space="preserve">Cheneval Advisory</w:t>
      </w:r>
      <w:r>
        <w:rPr>
          <w:rFonts w:ascii="Lato" w:cs="Lato" w:eastAsia="Lato" w:hAnsi="Lato"/>
          <w:color w:val="5A6473"/>
          <w:sz w:val="11"/>
          <w:szCs w:val="11"/>
        </w:rPr>
        <w:t xml:space="preserve">    /    Jami Emerson Cheneval    /    jami@chenevaladvisory.com.au    /    chenevaladvisory.com.au</w:t>
      </w:r>
    </w:p>
    <w:sectPr>
      <w:pgSz w:w="12240" w:h="15840" w:orient="portrait"/>
      <w:pgMar w:top="850" w:right="1080" w:bottom="85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ato" w:cs="Lato" w:eastAsia="Lato" w:hAnsi="Lato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Measuring the ROI of AI — Cheneval Advisory Framework</dc:title>
  <dc:creator>Jami Emerson Cheneval</dc:creator>
  <cp:lastModifiedBy>Un-named</cp:lastModifiedBy>
  <cp:revision>1</cp:revision>
  <dcterms:created xsi:type="dcterms:W3CDTF">2026-08-27T07:15:32.107Z</dcterms:created>
  <dcterms:modified xsi:type="dcterms:W3CDTF">2026-08-27T07:15:32.109Z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