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Lato" w:cs="Lato" w:eastAsia="Lato" w:hAnsi="Lato"/>
          <w:b/>
          <w:bCs/>
          <w:color w:val="C5A572"/>
          <w:spacing w:val="80"/>
          <w:sz w:val="18"/>
          <w:szCs w:val="18"/>
        </w:rPr>
        <w:t xml:space="preserve">CHENEVAL ADVISORY</w:t>
      </w:r>
    </w:p>
    <w:p>
      <w:pPr>
        <w:pBdr>
          <w:bottom w:val="single" w:color="C5A572" w:sz="12"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0"/>
              <w:left w:type="dxa" w:w="0"/>
              <w:bottom w:type="dxa" w:w="0"/>
              <w:right w:type="dxa" w:w="260"/>
            </w:tcMar>
            <w:vAlign w:val="top"/>
          </w:tcPr>
          <w:p>
            <w:pPr>
              <w:spacing w:after="0"/>
            </w:pPr>
            <w:r>
              <w:drawing>
                <wp:inline distT="0" distB="0" distL="0" distR="0">
                  <wp:extent cx="1428750" cy="2143125"/>
                  <wp:effectExtent t="0" r="0" b="0" l="0"/>
                  <wp:docPr id="1" name="jami" descr="Portrait of Jami Emerson Cheneval" title="Jami Emerson Chen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143125"/>
                          </a:xfrm>
                          <a:prstGeom prst="rect">
                            <a:avLst/>
                          </a:prstGeom>
                        </pic:spPr>
                      </pic:pic>
                    </a:graphicData>
                  </a:graphic>
                </wp:inline>
              </w:drawing>
            </w:r>
          </w:p>
        </w:tc>
        <w:tc>
          <w:tcPr>
            <w:tcW w:type="dxa" w:w="68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pPr>
            <w:r>
              <w:rPr>
                <w:rFonts w:ascii="Lato" w:cs="Lato" w:eastAsia="Lato" w:hAnsi="Lato"/>
                <w:b/>
                <w:bCs/>
                <w:color w:val="C5A572"/>
                <w:spacing w:val="60"/>
                <w:sz w:val="12"/>
                <w:szCs w:val="12"/>
              </w:rPr>
              <w:t xml:space="preserve">SPEAKER PROFILE</w:t>
            </w:r>
          </w:p>
          <w:p>
            <w:pPr>
              <w:spacing w:after="40"/>
            </w:pPr>
            <w:r>
              <w:rPr>
                <w:rFonts w:ascii="Cormorant Garamond" w:cs="Cormorant Garamond" w:eastAsia="Cormorant Garamond" w:hAnsi="Cormorant Garamond"/>
                <w:color w:val="0E2240"/>
                <w:sz w:val="40"/>
                <w:szCs w:val="40"/>
              </w:rPr>
              <w:t xml:space="preserve">Jami Emerson Cheneval.</w:t>
            </w:r>
          </w:p>
          <w:p>
            <w:pPr>
              <w:spacing w:after="140"/>
            </w:pPr>
            <w:r>
              <w:rPr>
                <w:rFonts w:ascii="Cormorant Garamond" w:cs="Cormorant Garamond" w:eastAsia="Cormorant Garamond" w:hAnsi="Cormorant Garamond"/>
                <w:i/>
                <w:iCs/>
                <w:color w:val="5A6473"/>
                <w:sz w:val="20"/>
                <w:szCs w:val="20"/>
              </w:rPr>
              <w:t xml:space="preserve">Enterprise AI adoption specialist. Founder, Cheneval Advisory.</w:t>
            </w:r>
          </w:p>
          <w:p>
            <w:pPr>
              <w:spacing w:after="110" w:line="270"/>
            </w:pPr>
            <w:r>
              <w:rPr>
                <w:rFonts w:ascii="Lato" w:cs="Lato" w:eastAsia="Lato" w:hAnsi="Lato"/>
                <w:color w:val="1A1A1A"/>
                <w:sz w:val="19"/>
                <w:szCs w:val="19"/>
              </w:rPr>
              <w:t xml:space="preserve">Jami speaks about what it actually takes for organisations to get value from AI: not the tools, but the people using them. She co-created an enterprise adoption model that took a 34-person team from minimal AI usage to AI-first ways of working within a year, and now teaches leadership teams and operational staff to do the same.</w:t>
            </w:r>
          </w:p>
          <w:p>
            <w:pPr>
              <w:spacing w:after="110" w:line="270"/>
            </w:pPr>
            <w:r>
              <w:rPr>
                <w:rFonts w:ascii="Lato" w:cs="Lato" w:eastAsia="Lato" w:hAnsi="Lato"/>
                <w:color w:val="1A1A1A"/>
                <w:sz w:val="19"/>
                <w:szCs w:val="19"/>
              </w:rPr>
              <w:t xml:space="preserve">Her sessions are practical and hands-on. No hype, no jargon, and every attendee leaves with something they can use the next morning.</w:t>
            </w:r>
          </w:p>
        </w:tc>
      </w:tr>
    </w:tbl>
    <w:p>
      <w:pPr>
        <w:spacing w:after="20" w:before="240"/>
      </w:pPr>
      <w:r>
        <w:rPr>
          <w:rFonts w:ascii="Lato" w:cs="Lato" w:eastAsia="Lato" w:hAnsi="Lato"/>
          <w:b/>
          <w:bCs/>
          <w:color w:val="C5A572"/>
          <w:spacing w:val="60"/>
          <w:sz w:val="12"/>
          <w:szCs w:val="12"/>
        </w:rPr>
        <w:t xml:space="preserve">SESSIONS</w:t>
      </w:r>
    </w:p>
    <w:p>
      <w:pPr>
        <w:spacing w:after="120"/>
      </w:pPr>
      <w:r>
        <w:rPr>
          <w:rFonts w:ascii="Cormorant Garamond" w:cs="Cormorant Garamond" w:eastAsia="Cormorant Garamond" w:hAnsi="Cormorant Garamond"/>
          <w:color w:val="0E2240"/>
          <w:sz w:val="26"/>
          <w:szCs w:val="26"/>
        </w:rPr>
        <w:t xml:space="preserve">Three talks, tailored to every room.</w:t>
      </w:r>
    </w:p>
    <w:p>
      <w:pPr>
        <w:spacing w:after="110" w:line="265"/>
      </w:pPr>
      <w:r>
        <w:rPr>
          <w:rFonts w:ascii="Lato" w:cs="Lato" w:eastAsia="Lato" w:hAnsi="Lato"/>
          <w:b/>
          <w:bCs/>
          <w:color w:val="0E2240"/>
          <w:sz w:val="19"/>
          <w:szCs w:val="19"/>
        </w:rPr>
        <w:t xml:space="preserve">Making AI adoption stick.  </w:t>
      </w:r>
      <w:r>
        <w:rPr>
          <w:rFonts w:ascii="Lato" w:cs="Lato" w:eastAsia="Lato" w:hAnsi="Lato"/>
          <w:color w:val="1A1A1A"/>
          <w:sz w:val="19"/>
          <w:szCs w:val="19"/>
        </w:rPr>
        <w:t xml:space="preserve">For executives and boards. Why most AI rollouts stall, what the organisations capturing real value do differently, and the adoption model that turns curiosity into capability. Built on the thesis that AI adoption is a workforce transformation challenge, not a tooling one.</w:t>
      </w:r>
    </w:p>
    <w:p>
      <w:pPr>
        <w:spacing w:after="110" w:line="265"/>
      </w:pPr>
      <w:r>
        <w:rPr>
          <w:rFonts w:ascii="Lato" w:cs="Lato" w:eastAsia="Lato" w:hAnsi="Lato"/>
          <w:b/>
          <w:bCs/>
          <w:color w:val="0E2240"/>
          <w:sz w:val="19"/>
          <w:szCs w:val="19"/>
        </w:rPr>
        <w:t xml:space="preserve">Practical AI for your everyday work.  </w:t>
      </w:r>
      <w:r>
        <w:rPr>
          <w:rFonts w:ascii="Lato" w:cs="Lato" w:eastAsia="Lato" w:hAnsi="Lato"/>
          <w:color w:val="1A1A1A"/>
          <w:sz w:val="19"/>
          <w:szCs w:val="19"/>
        </w:rPr>
        <w:t xml:space="preserve">For operational teams, HR, finance and administration. Finding your best use cases, a five-part prompt framework, and live problem-solving on attendees' real tasks.</w:t>
      </w:r>
    </w:p>
    <w:p>
      <w:pPr>
        <w:spacing w:after="110" w:line="265"/>
      </w:pPr>
      <w:r>
        <w:rPr>
          <w:rFonts w:ascii="Lato" w:cs="Lato" w:eastAsia="Lato" w:hAnsi="Lato"/>
          <w:b/>
          <w:bCs/>
          <w:color w:val="0E2240"/>
          <w:sz w:val="19"/>
          <w:szCs w:val="19"/>
        </w:rPr>
        <w:t xml:space="preserve">Safe, confident AI.  </w:t>
      </w:r>
      <w:r>
        <w:rPr>
          <w:rFonts w:ascii="Lato" w:cs="Lato" w:eastAsia="Lato" w:hAnsi="Lato"/>
          <w:color w:val="1A1A1A"/>
          <w:sz w:val="19"/>
          <w:szCs w:val="19"/>
        </w:rPr>
        <w:t xml:space="preserve">For leaders responsible for governance and risk. The simple rules that keep organisational data safe, how to say yes to AI more often without saying yes to everything, and governance that enables adoption instead of blocking it.</w:t>
      </w:r>
    </w:p>
    <w:p>
      <w:pPr>
        <w:spacing w:after="20" w:before="240"/>
      </w:pPr>
      <w:r>
        <w:rPr>
          <w:rFonts w:ascii="Lato" w:cs="Lato" w:eastAsia="Lato" w:hAnsi="Lato"/>
          <w:b/>
          <w:bCs/>
          <w:color w:val="C5A572"/>
          <w:spacing w:val="60"/>
          <w:sz w:val="12"/>
          <w:szCs w:val="12"/>
        </w:rPr>
        <w:t xml:space="preserve">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0"/>
        <w:gridCol w:w="150"/>
        <w:gridCol w:w="3020"/>
        <w:gridCol w:w="150"/>
        <w:gridCol w:w="3020"/>
      </w:tblGrid>
      <w:tr>
        <w:tc>
          <w:tcPr>
            <w:tcW w:type="dxa" w:w="3020"/>
            <w:tcBorders>
              <w:top w:val="none" w:color="FFFFFF" w:sz="0"/>
              <w:left w:val="none" w:color="FFFFFF" w:sz="0"/>
              <w:bottom w:val="none" w:color="FFFFFF" w:sz="0"/>
              <w:right w:val="none" w:color="FFFFFF" w:sz="0"/>
            </w:tcBorders>
            <w:shd w:fill="F0EEEA" w:val="clear"/>
            <w:tcMar>
              <w:top w:type="dxa" w:w="200"/>
              <w:left w:type="dxa" w:w="260"/>
              <w:bottom w:type="dxa" w:w="200"/>
              <w:right w:type="dxa" w:w="220"/>
            </w:tcMar>
            <w:vAlign w:val="top"/>
          </w:tcPr>
          <w:p>
            <w:pPr>
              <w:spacing w:after="30"/>
            </w:pPr>
            <w:r>
              <w:rPr>
                <w:rFonts w:ascii="Cormorant Garamond" w:cs="Cormorant Garamond" w:eastAsia="Cormorant Garamond" w:hAnsi="Cormorant Garamond"/>
                <w:color w:val="0E2240"/>
                <w:sz w:val="44"/>
                <w:szCs w:val="44"/>
              </w:rPr>
              <w:t xml:space="preserve">8 FTE</w:t>
            </w:r>
          </w:p>
          <w:p>
            <w:pPr>
              <w:spacing w:after="0" w:line="230"/>
            </w:pPr>
            <w:r>
              <w:rPr>
                <w:rFonts w:ascii="Lato" w:cs="Lato" w:eastAsia="Lato" w:hAnsi="Lato"/>
                <w:color w:val="5A6473"/>
                <w:sz w:val="15"/>
                <w:szCs w:val="15"/>
              </w:rPr>
              <w:t xml:space="preserve">of capacity returned to one team in 12 months through the adoption model Jami co-created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t xml:space="preserve"/>
            </w:r>
          </w:p>
        </w:tc>
        <w:tc>
          <w:tcPr>
            <w:tcW w:type="dxa" w:w="3020"/>
            <w:tcBorders>
              <w:top w:val="none" w:color="FFFFFF" w:sz="0"/>
              <w:left w:val="none" w:color="FFFFFF" w:sz="0"/>
              <w:bottom w:val="none" w:color="FFFFFF" w:sz="0"/>
              <w:right w:val="none" w:color="FFFFFF" w:sz="0"/>
            </w:tcBorders>
            <w:shd w:fill="F0EEEA" w:val="clear"/>
            <w:tcMar>
              <w:top w:type="dxa" w:w="200"/>
              <w:left w:type="dxa" w:w="260"/>
              <w:bottom w:type="dxa" w:w="200"/>
              <w:right w:type="dxa" w:w="220"/>
            </w:tcMar>
            <w:vAlign w:val="top"/>
          </w:tcPr>
          <w:p>
            <w:pPr>
              <w:spacing w:after="30"/>
            </w:pPr>
            <w:r>
              <w:rPr>
                <w:rFonts w:ascii="Cormorant Garamond" w:cs="Cormorant Garamond" w:eastAsia="Cormorant Garamond" w:hAnsi="Cormorant Garamond"/>
                <w:color w:val="0E2240"/>
                <w:sz w:val="44"/>
                <w:szCs w:val="44"/>
              </w:rPr>
              <w:t xml:space="preserve">Two-thirds</w:t>
            </w:r>
          </w:p>
          <w:p>
            <w:pPr>
              <w:spacing w:after="0" w:line="230"/>
            </w:pPr>
            <w:r>
              <w:rPr>
                <w:rFonts w:ascii="Lato" w:cs="Lato" w:eastAsia="Lato" w:hAnsi="Lato"/>
                <w:color w:val="5A6473"/>
                <w:sz w:val="15"/>
                <w:szCs w:val="15"/>
              </w:rPr>
              <w:t xml:space="preserve">reduction in new hires needed to meet growing project demand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t xml:space="preserve"/>
            </w:r>
          </w:p>
        </w:tc>
        <w:tc>
          <w:tcPr>
            <w:tcW w:type="dxa" w:w="3020"/>
            <w:tcBorders>
              <w:top w:val="none" w:color="FFFFFF" w:sz="0"/>
              <w:left w:val="none" w:color="FFFFFF" w:sz="0"/>
              <w:bottom w:val="none" w:color="FFFFFF" w:sz="0"/>
              <w:right w:val="none" w:color="FFFFFF" w:sz="0"/>
            </w:tcBorders>
            <w:shd w:fill="F0EEEA" w:val="clear"/>
            <w:tcMar>
              <w:top w:type="dxa" w:w="200"/>
              <w:left w:type="dxa" w:w="260"/>
              <w:bottom w:type="dxa" w:w="200"/>
              <w:right w:type="dxa" w:w="220"/>
            </w:tcMar>
            <w:vAlign w:val="top"/>
          </w:tcPr>
          <w:p>
            <w:pPr>
              <w:spacing w:after="30"/>
            </w:pPr>
            <w:r>
              <w:rPr>
                <w:rFonts w:ascii="Cormorant Garamond" w:cs="Cormorant Garamond" w:eastAsia="Cormorant Garamond" w:hAnsi="Cormorant Garamond"/>
                <w:color w:val="0E2240"/>
                <w:sz w:val="44"/>
                <w:szCs w:val="44"/>
              </w:rPr>
              <w:t xml:space="preserve">40+</w:t>
            </w:r>
          </w:p>
          <w:p>
            <w:pPr>
              <w:spacing w:after="0" w:line="230"/>
            </w:pPr>
            <w:r>
              <w:rPr>
                <w:rFonts w:ascii="Lato" w:cs="Lato" w:eastAsia="Lato" w:hAnsi="Lato"/>
                <w:color w:val="5A6473"/>
                <w:sz w:val="15"/>
                <w:szCs w:val="15"/>
              </w:rPr>
              <w:t xml:space="preserve">People and Culture leaders taught across Sydney independent schools, plus the HEDx higher education conference</w:t>
            </w:r>
          </w:p>
        </w:tc>
      </w:tr>
    </w:tbl>
    <w:p>
      <w:pPr>
        <w:spacing w:after="20" w:before="240"/>
      </w:pPr>
      <w:r>
        <w:rPr>
          <w:rFonts w:ascii="Lato" w:cs="Lato" w:eastAsia="Lato" w:hAnsi="Lato"/>
          <w:b/>
          <w:bCs/>
          <w:color w:val="C5A572"/>
          <w:spacing w:val="60"/>
          <w:sz w:val="12"/>
          <w:szCs w:val="12"/>
        </w:rPr>
        <w:t xml:space="preserve">FORMATS</w:t>
      </w:r>
    </w:p>
    <w:p>
      <w:pPr>
        <w:spacing w:after="60" w:line="270"/>
      </w:pPr>
      <w:r>
        <w:rPr>
          <w:rFonts w:ascii="Lato" w:cs="Lato" w:eastAsia="Lato" w:hAnsi="Lato"/>
          <w:b/>
          <w:bCs/>
          <w:color w:val="0E2240"/>
          <w:sz w:val="19"/>
          <w:szCs w:val="19"/>
        </w:rPr>
        <w:t xml:space="preserve">Keynotes and conference talks</w:t>
      </w:r>
      <w:r>
        <w:rPr>
          <w:rFonts w:ascii="Lato" w:cs="Lato" w:eastAsia="Lato" w:hAnsi="Lato"/>
          <w:color w:val="5A6473"/>
          <w:sz w:val="19"/>
          <w:szCs w:val="19"/>
        </w:rPr>
        <w:t xml:space="preserve"> (30 to 45 minutes)   ·   </w:t>
      </w:r>
      <w:r>
        <w:rPr>
          <w:rFonts w:ascii="Lato" w:cs="Lato" w:eastAsia="Lato" w:hAnsi="Lato"/>
          <w:b/>
          <w:bCs/>
          <w:color w:val="0E2240"/>
          <w:sz w:val="19"/>
          <w:szCs w:val="19"/>
        </w:rPr>
        <w:t xml:space="preserve">Hands-on workshops</w:t>
      </w:r>
      <w:r>
        <w:rPr>
          <w:rFonts w:ascii="Lato" w:cs="Lato" w:eastAsia="Lato" w:hAnsi="Lato"/>
          <w:color w:val="5A6473"/>
          <w:sz w:val="19"/>
          <w:szCs w:val="19"/>
        </w:rPr>
        <w:t xml:space="preserve"> (60 to 90 minutes)   ·   </w:t>
      </w:r>
      <w:r>
        <w:rPr>
          <w:rFonts w:ascii="Lato" w:cs="Lato" w:eastAsia="Lato" w:hAnsi="Lato"/>
          <w:b/>
          <w:bCs/>
          <w:color w:val="0E2240"/>
          <w:sz w:val="19"/>
          <w:szCs w:val="19"/>
        </w:rPr>
        <w:t xml:space="preserve">Half-day and full-day programs</w:t>
      </w:r>
      <w:r>
        <w:rPr>
          <w:rFonts w:ascii="Lato" w:cs="Lato" w:eastAsia="Lato" w:hAnsi="Lato"/>
          <w:color w:val="5A6473"/>
          <w:sz w:val="19"/>
          <w:szCs w:val="19"/>
        </w:rPr>
        <w:t xml:space="preserve">   ·   </w:t>
      </w:r>
      <w:r>
        <w:rPr>
          <w:rFonts w:ascii="Lato" w:cs="Lato" w:eastAsia="Lato" w:hAnsi="Lato"/>
          <w:b/>
          <w:bCs/>
          <w:color w:val="0E2240"/>
          <w:sz w:val="19"/>
          <w:szCs w:val="19"/>
        </w:rPr>
        <w:t xml:space="preserve">Executive roundtables and panels</w:t>
      </w:r>
    </w:p>
    <w:p>
      <w:pPr>
        <w:spacing w:after="60" w:line="270"/>
      </w:pPr>
      <w:r>
        <w:rPr>
          <w:rFonts w:ascii="Lato" w:cs="Lato" w:eastAsia="Lato" w:hAnsi="Lato"/>
          <w:color w:val="1A1A1A"/>
          <w:sz w:val="19"/>
          <w:szCs w:val="19"/>
        </w:rPr>
        <w:t xml:space="preserve">In person across Sydney, virtual anywhere in Australia. Every session is tailored to the audience and their real work.</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2240" w:val="clear"/>
            <w:tcMar>
              <w:top w:type="dxa" w:w="220"/>
              <w:left w:type="dxa" w:w="420"/>
              <w:bottom w:type="dxa" w:w="220"/>
              <w:right w:type="dxa" w:w="420"/>
            </w:tcMar>
          </w:tcPr>
          <w:p>
            <w:pPr>
              <w:spacing w:after="60"/>
            </w:pPr>
            <w:r>
              <w:rPr>
                <w:rFonts w:ascii="Lato" w:cs="Lato" w:eastAsia="Lato" w:hAnsi="Lato"/>
                <w:b/>
                <w:bCs/>
                <w:color w:val="C5A572"/>
                <w:spacing w:val="60"/>
                <w:sz w:val="12"/>
                <w:szCs w:val="12"/>
              </w:rPr>
              <w:t xml:space="preserve">BOOK JAMI</w:t>
            </w:r>
          </w:p>
          <w:p>
            <w:pPr>
              <w:spacing w:after="0" w:line="270"/>
            </w:pPr>
            <w:r>
              <w:rPr>
                <w:rFonts w:ascii="Lato" w:cs="Lato" w:eastAsia="Lato" w:hAnsi="Lato"/>
                <w:color w:val="F5F2EC"/>
                <w:sz w:val="19"/>
                <w:szCs w:val="19"/>
              </w:rPr>
              <w:t xml:space="preserve">jami@chenevaladvisory.com.au    ·    0413 723 938    ·    chenevaladvisory.com.au    ·    </w:t>
            </w:r>
            <w:r>
              <w:rPr>
                <w:rFonts w:ascii="Lato" w:cs="Lato" w:eastAsia="Lato" w:hAnsi="Lato"/>
                <w:color w:val="F5F2EC"/>
                <w:sz w:val="19"/>
                <w:szCs w:val="19"/>
              </w:rPr>
              <w:t xml:space="preserve">linkedin.com/in/jami-emerson-cheneval-954a5713a</w:t>
            </w:r>
          </w:p>
        </w:tc>
      </w:tr>
    </w:tbl>
    <w:p>
      <w:pPr>
        <w:pBdr>
          <w:top w:val="single" w:color="C5A572" w:sz="6" w:space="1"/>
        </w:pBdr>
        <w:spacing w:before="200"/>
      </w:pPr>
      <w:r>
        <w:t xml:space="preserve"/>
      </w:r>
    </w:p>
    <w:p>
      <w:pPr>
        <w:spacing w:after="0" w:before="90"/>
      </w:pPr>
      <w:r>
        <w:rPr>
          <w:rFonts w:ascii="Cormorant Garamond" w:cs="Cormorant Garamond" w:eastAsia="Cormorant Garamond" w:hAnsi="Cormorant Garamond"/>
          <w:b/>
          <w:bCs/>
          <w:color w:val="0E2240"/>
          <w:sz w:val="13"/>
          <w:szCs w:val="13"/>
        </w:rPr>
        <w:t xml:space="preserve">Cheneval Advisory</w:t>
      </w:r>
      <w:r>
        <w:rPr>
          <w:rFonts w:ascii="Lato" w:cs="Lato" w:eastAsia="Lato" w:hAnsi="Lato"/>
          <w:color w:val="5A6473"/>
          <w:sz w:val="11"/>
          <w:szCs w:val="11"/>
        </w:rPr>
        <w:t xml:space="preserve">    /    AI adoption, delivered by operators    /    ABN 50 261 207 839    /    chenevaladvisory.com.au</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9b5b414ee87c69f01954b18d9aaf6ac837f2d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Profile — Jami Emerson Cheneval</dc:title>
  <dc:creator>Jami Emerson Cheneval</dc:creator>
  <cp:lastModifiedBy>Un-named</cp:lastModifiedBy>
  <cp:revision>1</cp:revision>
  <dcterms:created xsi:type="dcterms:W3CDTF">2026-08-27T03:50:04.897Z</dcterms:created>
  <dcterms:modified xsi:type="dcterms:W3CDTF">2026-08-27T03:50:04.898Z</dcterms:modified>
</cp:coreProperties>
</file>

<file path=docProps/custom.xml><?xml version="1.0" encoding="utf-8"?>
<Properties xmlns="http://schemas.openxmlformats.org/officeDocument/2006/custom-properties" xmlns:vt="http://schemas.openxmlformats.org/officeDocument/2006/docPropsVTypes"/>
</file>