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sz w:val="48"/>
          <w:szCs w:val="48"/>
        </w:rPr>
        <w:t xml:space="preserve">Unitary Decoherence and the Wigner's Friend Scenario:</w:t>
      </w:r>
    </w:p>
    <w:p>
      <w:pPr>
        <w:spacing w:after="400"/>
        <w:jc w:val="center"/>
      </w:pPr>
      <w:r>
        <w:rPr>
          <w:b/>
          <w:bCs/>
          <w:sz w:val="48"/>
          <w:szCs w:val="48"/>
        </w:rPr>
        <w:t xml:space="preserve">An Exact Toy Model</w:t>
      </w:r>
    </w:p>
    <w:p>
      <w:pPr>
        <w:spacing w:after="100"/>
        <w:jc w:val="center"/>
      </w:pPr>
      <w:r>
        <w:rPr>
          <w:sz w:val="24"/>
          <w:szCs w:val="24"/>
        </w:rPr>
        <w:t xml:space="preserve">Stas [Achternaam]</w:t>
      </w:r>
    </w:p>
    <w:p>
      <w:pPr>
        <w:spacing w:after="400"/>
        <w:jc w:val="center"/>
      </w:pPr>
      <w:r>
        <w:rPr>
          <w:i/>
          <w:iCs/>
          <w:sz w:val="22"/>
          <w:szCs w:val="22"/>
        </w:rPr>
        <w:t xml:space="preserve">December 2024</w:t>
      </w:r>
    </w:p>
    <w:p>
      <w:pPr>
        <w:spacing w:before="200" w:after="200"/>
        <w:jc w:val="center"/>
      </w:pPr>
      <w:r>
        <w:rPr>
          <w:b/>
          <w:bCs/>
          <w:sz w:val="24"/>
          <w:szCs w:val="24"/>
        </w:rPr>
        <w:t xml:space="preserve">Abstract</w:t>
      </w:r>
    </w:p>
    <w:p>
      <w:pPr>
        <w:pStyle w:val="Abstract"/>
      </w:pPr>
      <w:r>
        <w:rPr>
          <w:sz w:val="22"/>
          <w:szCs w:val="22"/>
        </w:rPr>
        <w:t xml:space="preserve">We present a fully unitary analysis of the Wigner's Friend scenario with environment-induced decoherence, using only standard quantum mechanics. Within a minimal qubit model, we derive exact closed-form expressions for coherence suppression and quantum mutual information between a measurement record and its environment. This allows us to (i) demonstrate the emergence of classical objectivity via redundancy in the environment (Quantum Darwinism), (ii) clarify the operational content of the Wigner's Friend paradox without invoking collapse or branching, and (iii) introduce a non-dynamical compatibility condition (L2) specifying when stable experience is possible without modifying the quantum state. The analysis is interpretational in scope: no new dynamics or empirical predictions are proposed.</w:t>
      </w:r>
    </w:p>
    <w:p>
      <w:pPr>
        <w:pStyle w:val="Heading1"/>
      </w:pPr>
      <w:r>
        <w:t xml:space="preserve">1. Introduction and Scope</w:t>
      </w:r>
    </w:p>
    <w:p>
      <w:pPr>
        <w:spacing w:after="200" w:line="276"/>
      </w:pPr>
      <w:r>
        <w:t xml:space="preserve">The Wigner's Friend thought experiment exposes a persistent tension in quantum foundations: how a globally unitary quantum description can coexist with the local experience of definite outcomes. While decoherence theory explains the suppression of interference and the emergence of classical records, it does not by itself explain why experience is restricted to a single, stable history.</w:t>
      </w:r>
    </w:p>
    <w:p>
      <w:pPr>
        <w:spacing w:after="200" w:line="276"/>
      </w:pPr>
      <w:r>
        <w:t xml:space="preserve">This work does not propose new physics. Instead, it aims to clarify—within standard quantum mechanics—how three elements interact: (1) Unitary quantum dynamics, (2) Environment-induced decoherence and objectivity, and (3) The restriction of experience to decohered, record-stable histories.</w:t>
      </w:r>
    </w:p>
    <w:p>
      <w:pPr>
        <w:spacing w:after="200" w:line="276"/>
      </w:pPr>
      <w:r>
        <w:t xml:space="preserve">Our analysis remains deliberately minimal and avoids collapse postulates, stochastic dynamics, or ontological commitments beyond standard quantum theory.</w:t>
      </w:r>
    </w:p>
    <w:p>
      <w:pPr>
        <w:pStyle w:val="Heading1"/>
      </w:pPr>
      <w:r>
        <w:t xml:space="preserve">2. Relation to Existing Work</w:t>
      </w:r>
    </w:p>
    <w:p>
      <w:pPr>
        <w:spacing w:after="200" w:line="276"/>
      </w:pPr>
      <w:r>
        <w:t xml:space="preserve">This work builds directly on established results in quantum foundations: </w:t>
      </w:r>
      <w:r>
        <w:rPr>
          <w:b/>
          <w:bCs/>
        </w:rPr>
        <w:t xml:space="preserve">Decoherence theory</w:t>
      </w:r>
      <w:r>
        <w:t xml:space="preserve"> (Zeh; Zurek): classicality as entanglement with inaccessible degrees of freedom. </w:t>
      </w:r>
      <w:r>
        <w:rPr>
          <w:b/>
          <w:bCs/>
        </w:rPr>
        <w:t xml:space="preserve">Quantum Darwinism</w:t>
      </w:r>
      <w:r>
        <w:t xml:space="preserve"> (Zurek): objectivity through redundant proliferation of information in the environment. </w:t>
      </w:r>
      <w:r>
        <w:rPr>
          <w:b/>
          <w:bCs/>
        </w:rPr>
        <w:t xml:space="preserve">Decoherent/Consistent Histories</w:t>
      </w:r>
      <w:r>
        <w:t xml:space="preserve"> (Griffiths; Gell-Mann &amp; Hartle): probabilistic reasoning conditioned on decoherent histories. </w:t>
      </w:r>
      <w:r>
        <w:rPr>
          <w:b/>
          <w:bCs/>
        </w:rPr>
        <w:t xml:space="preserve">Wigner's Friend extensions</w:t>
      </w:r>
      <w:r>
        <w:t xml:space="preserve"> (Brukner; Frauchiger &amp; Renner; Healey): logical tension between perspectives in unitary quantum mechanics.</w:t>
      </w:r>
    </w:p>
    <w:p>
      <w:pPr>
        <w:spacing w:after="200" w:line="276"/>
      </w:pPr>
      <w:r>
        <w:t xml:space="preserve">No claim in this work contradicts these frameworks. The novelty lies in presenting a single, exact toy model in which all three elements are quantitatively visible and in explicitly separating physical decoherence from experiential compatibility.</w:t>
      </w:r>
    </w:p>
    <w:p>
      <w:pPr>
        <w:pStyle w:val="Heading1"/>
      </w:pPr>
      <w:r>
        <w:t xml:space="preserve">3. Unitary Pre-Measurement: Wigner's Friend</w:t>
      </w:r>
    </w:p>
    <w:p>
      <w:pPr>
        <w:spacing w:after="200" w:line="276"/>
      </w:pPr>
      <w:r>
        <w:t xml:space="preserve">We consider a system qubit </w:t>
      </w:r>
      <w:r>
        <w:rPr>
          <w:rFonts w:ascii="Cambria Math" w:cs="Cambria Math" w:eastAsia="Cambria Math" w:hAnsi="Cambria Math"/>
          <w:i/>
          <w:iCs/>
        </w:rPr>
        <w:t xml:space="preserve">S</w:t>
      </w:r>
      <w:r>
        <w:t xml:space="preserve"> initially in superposition and a Friend's memory qubit </w:t>
      </w:r>
      <w:r>
        <w:rPr>
          <w:rFonts w:ascii="Cambria Math" w:cs="Cambria Math" w:eastAsia="Cambria Math" w:hAnsi="Cambria Math"/>
          <w:i/>
          <w:iCs/>
        </w:rPr>
        <w:t xml:space="preserve">F</w:t>
      </w:r>
      <w:r>
        <w:t xml:space="preserve"> initially in a ready state. Measurement is modeled as a unitary pre-measurement interaction:</w:t>
      </w:r>
    </w:p>
    <w:p>
      <w:pPr>
        <w:spacing w:before="200" w:after="200"/>
        <w:jc w:val="center"/>
      </w:pPr>
      <w:r>
        <w:rPr>
          <w:rFonts w:ascii="Cambria Math" w:cs="Cambria Math" w:eastAsia="Cambria Math" w:hAnsi="Cambria Math"/>
          <w:i/>
          <w:iCs/>
        </w:rPr>
        <w:t xml:space="preserve">|ψ_S⟩ = (1/√2)(|0⟩ + |1⟩),   U_SF = CNOT_{S→F}</w:t>
      </w:r>
    </w:p>
    <w:p>
      <w:pPr>
        <w:spacing w:after="200" w:line="276"/>
      </w:pPr>
      <w:r>
        <w:t xml:space="preserve">After interaction:</w:t>
      </w:r>
    </w:p>
    <w:p>
      <w:pPr>
        <w:spacing w:before="200" w:after="200"/>
        <w:jc w:val="center"/>
      </w:pPr>
      <w:r>
        <w:rPr>
          <w:rFonts w:ascii="Cambria Math" w:cs="Cambria Math" w:eastAsia="Cambria Math" w:hAnsi="Cambria Math"/>
          <w:i/>
          <w:iCs/>
        </w:rPr>
        <w:t xml:space="preserve">|Ψ_SF⟩ = (1/√2)(|00⟩ + |11⟩)</w:t>
      </w:r>
    </w:p>
    <w:p>
      <w:pPr>
        <w:spacing w:after="200" w:line="276"/>
      </w:pPr>
      <w:r>
        <w:t xml:space="preserve">a maximally entangled state. Globally, the evolution is unitary and reversible; locally, the reduced state of </w:t>
      </w:r>
      <w:r>
        <w:rPr>
          <w:rFonts w:ascii="Cambria Math" w:cs="Cambria Math" w:eastAsia="Cambria Math" w:hAnsi="Cambria Math"/>
          <w:i/>
          <w:iCs/>
        </w:rPr>
        <w:t xml:space="preserve">F</w:t>
      </w:r>
      <w:r>
        <w:t xml:space="preserve"> is diagonal, corresponding to a definite outcome for the Friend.</w:t>
      </w:r>
    </w:p>
    <w:p>
      <w:pPr>
        <w:pStyle w:val="Heading1"/>
      </w:pPr>
      <w:r>
        <w:t xml:space="preserve">4. Environment-Induced Decoherence</w:t>
      </w:r>
    </w:p>
    <w:p>
      <w:pPr>
        <w:pStyle w:val="Heading2"/>
      </w:pPr>
      <w:r>
        <w:t xml:space="preserve">4.1 Model</w:t>
      </w:r>
    </w:p>
    <w:p>
      <w:pPr>
        <w:spacing w:after="200" w:line="276"/>
      </w:pPr>
      <w:r>
        <w:t xml:space="preserve">To model decoherence, we introduce </w:t>
      </w:r>
      <w:r>
        <w:rPr>
          <w:rFonts w:ascii="Cambria Math" w:cs="Cambria Math" w:eastAsia="Cambria Math" w:hAnsi="Cambria Math"/>
          <w:i/>
          <w:iCs/>
        </w:rPr>
        <w:t xml:space="preserve">N</w:t>
      </w:r>
      <w:r>
        <w:t xml:space="preserve"> environment qubits </w:t>
      </w:r>
      <w:r>
        <w:rPr>
          <w:rFonts w:ascii="Cambria Math" w:cs="Cambria Math" w:eastAsia="Cambria Math" w:hAnsi="Cambria Math"/>
          <w:i/>
          <w:iCs/>
        </w:rPr>
        <w:t xml:space="preserve">E_k</w:t>
      </w:r>
      <w:r>
        <w:t xml:space="preserve">, initially in |0⟩, interacting with </w:t>
      </w:r>
      <w:r>
        <w:rPr>
          <w:rFonts w:ascii="Cambria Math" w:cs="Cambria Math" w:eastAsia="Cambria Math" w:hAnsi="Cambria Math"/>
          <w:i/>
          <w:iCs/>
        </w:rPr>
        <w:t xml:space="preserve">F</w:t>
      </w:r>
      <w:r>
        <w:t xml:space="preserve"> via controlled rotations:</w:t>
      </w:r>
    </w:p>
    <w:p>
      <w:pPr>
        <w:spacing w:before="200" w:after="200"/>
        <w:jc w:val="center"/>
      </w:pPr>
      <w:r>
        <w:rPr>
          <w:rFonts w:ascii="Cambria Math" w:cs="Cambria Math" w:eastAsia="Cambria Math" w:hAnsi="Cambria Math"/>
          <w:i/>
          <w:iCs/>
        </w:rPr>
        <w:t xml:space="preserve">U_{FE_k}(θ) = exp(−iθ |1⟩⟨1|_F ⊗ σ_x^(k))</w:t>
      </w:r>
    </w:p>
    <w:p>
      <w:pPr>
        <w:spacing w:after="200" w:line="276"/>
      </w:pPr>
      <w:r>
        <w:t xml:space="preserve">This interaction encodes partial which-path information about the Friend's record into the environment.</w:t>
      </w:r>
    </w:p>
    <w:p>
      <w:pPr>
        <w:pStyle w:val="Heading2"/>
      </w:pPr>
      <w:r>
        <w:t xml:space="preserve">4.2 Exact Coherence Suppression</w:t>
      </w:r>
    </w:p>
    <w:p>
      <w:pPr>
        <w:spacing w:after="200" w:line="276"/>
      </w:pPr>
      <w:r>
        <w:t xml:space="preserve">After tracing out the environment, the reduced density matrix </w:t>
      </w:r>
      <w:r>
        <w:rPr>
          <w:rFonts w:ascii="Cambria Math" w:cs="Cambria Math" w:eastAsia="Cambria Math" w:hAnsi="Cambria Math"/>
          <w:i/>
          <w:iCs/>
        </w:rPr>
        <w:t xml:space="preserve">ρ_SF</w:t>
      </w:r>
      <w:r>
        <w:t xml:space="preserve"> has off-diagonal element:</w:t>
      </w:r>
    </w:p>
    <w:p>
      <w:pPr>
        <w:spacing w:before="200" w:after="200"/>
        <w:jc w:val="center"/>
      </w:pPr>
      <w:r>
        <w:rPr>
          <w:rFonts w:ascii="Cambria Math" w:cs="Cambria Math" w:eastAsia="Cambria Math" w:hAnsi="Cambria Math"/>
          <w:i/>
          <w:iCs/>
        </w:rPr>
        <w:t xml:space="preserve">|ρ_SF[00,11]| = (1/2)|cos θ|^N</w:t>
      </w:r>
    </w:p>
    <w:p>
      <w:pPr>
        <w:spacing w:after="200" w:line="276"/>
      </w:pPr>
      <w:r>
        <w:t xml:space="preserve">This expression is exact and derived directly from unitary dynamics. Decoherence is continuous and exponential in both coupling strength and environment size; coherence is not dynamically destroyed but rendered inaccessible.</w:t>
      </w:r>
    </w:p>
    <w:p>
      <w:pPr>
        <w:pStyle w:val="Heading1"/>
      </w:pPr>
      <w:r>
        <w:t xml:space="preserve">5. Objectivity and Quantum Darwinism</w:t>
      </w:r>
    </w:p>
    <w:p>
      <w:pPr>
        <w:pStyle w:val="Heading2"/>
      </w:pPr>
      <w:r>
        <w:t xml:space="preserve">5.1 Mutual Information</w:t>
      </w:r>
    </w:p>
    <w:p>
      <w:pPr>
        <w:spacing w:after="200" w:line="276"/>
      </w:pPr>
      <w:r>
        <w:t xml:space="preserve">For a single environment qubit:</w:t>
      </w:r>
    </w:p>
    <w:p>
      <w:pPr>
        <w:spacing w:before="200" w:after="200"/>
        <w:jc w:val="center"/>
      </w:pPr>
      <w:r>
        <w:rPr>
          <w:rFonts w:ascii="Cambria Math" w:cs="Cambria Math" w:eastAsia="Cambria Math" w:hAnsi="Cambria Math"/>
          <w:i/>
          <w:iCs/>
        </w:rPr>
        <w:t xml:space="preserve">I(F:E₁) = h₂((1 + |cos θ|)/2)</w:t>
      </w:r>
    </w:p>
    <w:p>
      <w:pPr>
        <w:spacing w:after="200" w:line="276"/>
      </w:pPr>
      <w:r>
        <w:t xml:space="preserve">and for the entire environment:</w:t>
      </w:r>
    </w:p>
    <w:p>
      <w:pPr>
        <w:spacing w:before="200" w:after="200"/>
        <w:jc w:val="center"/>
      </w:pPr>
      <w:r>
        <w:rPr>
          <w:rFonts w:ascii="Cambria Math" w:cs="Cambria Math" w:eastAsia="Cambria Math" w:hAnsi="Cambria Math"/>
          <w:i/>
          <w:iCs/>
        </w:rPr>
        <w:t xml:space="preserve">I(F:E_{1..N}) = h₂((1 + |cos θ|^N)/2)</w:t>
      </w:r>
    </w:p>
    <w:p>
      <w:pPr>
        <w:spacing w:after="200" w:line="276"/>
      </w:pPr>
      <w:r>
        <w:t xml:space="preserve">where </w:t>
      </w:r>
      <w:r>
        <w:rPr>
          <w:rFonts w:ascii="Cambria Math" w:cs="Cambria Math" w:eastAsia="Cambria Math" w:hAnsi="Cambria Math"/>
          <w:i/>
          <w:iCs/>
        </w:rPr>
        <w:t xml:space="preserve">h₂</w:t>
      </w:r>
      <w:r>
        <w:t xml:space="preserve"> denotes binary entropy. These expressions quantify how information about the measurement record spreads into the environment.</w:t>
      </w:r>
    </w:p>
    <w:p>
      <w:pPr>
        <w:pStyle w:val="Heading2"/>
      </w:pPr>
      <w:r>
        <w:t xml:space="preserve">5.2 Redundancy and Objectivity</w:t>
      </w:r>
    </w:p>
    <w:p>
      <w:pPr>
        <w:spacing w:after="200" w:line="276"/>
      </w:pPr>
      <w:r>
        <w:t xml:space="preserve">Two regimes are distinguished: </w:t>
      </w:r>
      <w:r>
        <w:rPr>
          <w:b/>
          <w:bCs/>
        </w:rPr>
        <w:t xml:space="preserve">Copy-like interactions</w:t>
      </w:r>
      <w:r>
        <w:t xml:space="preserve"> (e.g., CNOT): immediate redundancy and Darwinism plateau. </w:t>
      </w:r>
      <w:r>
        <w:rPr>
          <w:b/>
          <w:bCs/>
        </w:rPr>
        <w:t xml:space="preserve">Weak measurement interactions</w:t>
      </w:r>
      <w:r>
        <w:t xml:space="preserve"> (controlled rotations): gradual accumulation of information, with redundancy emerging as </w:t>
      </w:r>
      <w:r>
        <w:rPr>
          <w:rFonts w:ascii="Cambria Math" w:cs="Cambria Math" w:eastAsia="Cambria Math" w:hAnsi="Cambria Math"/>
          <w:i/>
          <w:iCs/>
        </w:rPr>
        <w:t xml:space="preserve">N</w:t>
      </w:r>
      <w:r>
        <w:t xml:space="preserve"> increases. In both cases, classical objectivity corresponds to the presence of multiple, independently accessible records in the environment.</w:t>
      </w:r>
    </w:p>
    <w:p>
      <w:pPr>
        <w:pStyle w:val="Heading1"/>
      </w:pPr>
      <w:r>
        <w:t xml:space="preserve">6. Operational Resolution of Wigner's Friend</w:t>
      </w:r>
    </w:p>
    <w:p>
      <w:pPr>
        <w:spacing w:after="200" w:line="276"/>
      </w:pPr>
      <w:r>
        <w:t xml:space="preserve">Two operational perspectives arise:</w:t>
      </w:r>
    </w:p>
    <w:p>
      <w:pPr>
        <w:spacing w:after="200" w:line="276"/>
      </w:pPr>
      <w:r>
        <w:rPr>
          <w:b/>
          <w:bCs/>
        </w:rPr>
        <w:t xml:space="preserve">Without environment access: </w:t>
      </w:r>
      <w:r>
        <w:t xml:space="preserve">Wigner cannot restore interference. The reduced state </w:t>
      </w:r>
      <w:r>
        <w:rPr>
          <w:rFonts w:ascii="Cambria Math" w:cs="Cambria Math" w:eastAsia="Cambria Math" w:hAnsi="Cambria Math"/>
          <w:i/>
          <w:iCs/>
        </w:rPr>
        <w:t xml:space="preserve">ρ_SF</w:t>
      </w:r>
      <w:r>
        <w:t xml:space="preserve"> is effectively classical, and records are irreversible in practice.</w:t>
      </w:r>
    </w:p>
    <w:p>
      <w:pPr>
        <w:spacing w:after="200" w:line="276"/>
      </w:pPr>
      <w:r>
        <w:rPr>
          <w:b/>
          <w:bCs/>
        </w:rPr>
        <w:t xml:space="preserve">With full environment access: </w:t>
      </w:r>
      <w:r>
        <w:t xml:space="preserve">Decoherence and pre-measurement can be reversed unitarily, restoring the initial coherent state.</w:t>
      </w:r>
    </w:p>
    <w:p>
      <w:pPr>
        <w:spacing w:after="200" w:line="276"/>
      </w:pPr>
      <w:r>
        <w:t xml:space="preserve">Thus, irreversibility is not fundamental but relative to interface accessibility.</w:t>
      </w:r>
    </w:p>
    <w:p>
      <w:pPr>
        <w:pStyle w:val="Heading1"/>
      </w:pPr>
      <w:r>
        <w:t xml:space="preserve">7. L2-Compatibility: Experience Without Collapse</w:t>
      </w:r>
    </w:p>
    <w:p>
      <w:pPr>
        <w:spacing w:after="200" w:line="276"/>
      </w:pPr>
      <w:r>
        <w:t xml:space="preserve">We introduce L2-compatibility as a non-dynamical condition: </w:t>
      </w:r>
      <w:r>
        <w:rPr>
          <w:i/>
          <w:iCs/>
        </w:rPr>
        <w:t xml:space="preserve">Experience is possible only on states or histories that support stable, redundant records.</w:t>
      </w:r>
    </w:p>
    <w:p>
      <w:pPr>
        <w:spacing w:after="200" w:line="276"/>
      </w:pPr>
      <w:r>
        <w:t xml:space="preserve">Operationally, this may be expressed as a threshold condition:</w:t>
      </w:r>
    </w:p>
    <w:p>
      <w:pPr>
        <w:spacing w:before="200" w:after="200"/>
        <w:jc w:val="center"/>
      </w:pPr>
      <w:r>
        <w:rPr>
          <w:rFonts w:ascii="Cambria Math" w:cs="Cambria Math" w:eastAsia="Cambria Math" w:hAnsi="Cambria Math"/>
          <w:i/>
          <w:iCs/>
        </w:rPr>
        <w:t xml:space="preserve">L2 = 1   if   |ρ_SF[00,11]| &lt; ε</w:t>
      </w:r>
    </w:p>
    <w:p>
      <w:pPr>
        <w:spacing w:after="200" w:line="276"/>
      </w:pPr>
      <w:r>
        <w:t xml:space="preserve">with </w:t>
      </w:r>
      <w:r>
        <w:rPr>
          <w:rFonts w:ascii="Cambria Math" w:cs="Cambria Math" w:eastAsia="Cambria Math" w:hAnsi="Cambria Math"/>
          <w:i/>
          <w:iCs/>
        </w:rPr>
        <w:t xml:space="preserve">ε</w:t>
      </w:r>
      <w:r>
        <w:t xml:space="preserve"> representing practical interferometric accessibility. Importantly: L2 does not modify the quantum state, does not select outcomes, and does not introduce new dynamics.</w:t>
      </w:r>
    </w:p>
    <w:p>
      <w:pPr>
        <w:spacing w:after="200" w:line="276"/>
      </w:pPr>
      <w:r>
        <w:t xml:space="preserve">Formally, this corresponds to conditionalization:</w:t>
      </w:r>
    </w:p>
    <w:p>
      <w:pPr>
        <w:spacing w:before="200" w:after="200"/>
        <w:jc w:val="center"/>
      </w:pPr>
      <w:r>
        <w:rPr>
          <w:rFonts w:ascii="Cambria Math" w:cs="Cambria Math" w:eastAsia="Cambria Math" w:hAnsi="Cambria Math"/>
          <w:i/>
          <w:iCs/>
        </w:rPr>
        <w:t xml:space="preserve">p(h|L2) = p(h)·L2(h) / Σ_{h'} p(h')·L2(h')</w:t>
      </w:r>
    </w:p>
    <w:p>
      <w:pPr>
        <w:pStyle w:val="Heading1"/>
      </w:pPr>
      <w:r>
        <w:t xml:space="preserve">8. Dominant but Structurally Atypical Classicality</w:t>
      </w:r>
    </w:p>
    <w:p>
      <w:pPr>
        <w:spacing w:after="200" w:line="276"/>
      </w:pPr>
      <w:r>
        <w:t xml:space="preserve">Two facts coexist: (1) </w:t>
      </w:r>
      <w:r>
        <w:rPr>
          <w:b/>
          <w:bCs/>
        </w:rPr>
        <w:t xml:space="preserve">Dominance:</w:t>
      </w:r>
      <w:r>
        <w:t xml:space="preserve"> for modest </w:t>
      </w:r>
      <w:r>
        <w:rPr>
          <w:rFonts w:ascii="Cambria Math" w:cs="Cambria Math" w:eastAsia="Cambria Math" w:hAnsi="Cambria Math"/>
          <w:i/>
          <w:iCs/>
        </w:rPr>
        <w:t xml:space="preserve">θ</w:t>
      </w:r>
      <w:r>
        <w:t xml:space="preserve"> and moderate </w:t>
      </w:r>
      <w:r>
        <w:rPr>
          <w:rFonts w:ascii="Cambria Math" w:cs="Cambria Math" w:eastAsia="Cambria Math" w:hAnsi="Cambria Math"/>
          <w:i/>
          <w:iCs/>
        </w:rPr>
        <w:t xml:space="preserve">N</w:t>
      </w:r>
      <w:r>
        <w:t xml:space="preserve">, coherence is suppressed well below any realistic threshold. (2) </w:t>
      </w:r>
      <w:r>
        <w:rPr>
          <w:b/>
          <w:bCs/>
        </w:rPr>
        <w:t xml:space="preserve">Atypicality:</w:t>
      </w:r>
      <w:r>
        <w:t xml:space="preserve"> strongly decohering, record-producing interactions occupy a special region of the space of all possible unitaries.</w:t>
      </w:r>
    </w:p>
    <w:p>
      <w:pPr>
        <w:spacing w:after="200" w:line="276"/>
      </w:pPr>
      <w:r>
        <w:t xml:space="preserve">Classical experience is therefore amplitude-dominant yet structurally special within a fully unitary description.</w:t>
      </w:r>
    </w:p>
    <w:p>
      <w:pPr>
        <w:pStyle w:val="Heading1"/>
      </w:pPr>
      <w:r>
        <w:t xml:space="preserve">9. Claims and Non-Claims</w:t>
      </w:r>
    </w:p>
    <w:p>
      <w:pPr>
        <w:spacing w:after="100" w:line="276"/>
      </w:pPr>
      <w:r>
        <w:rPr>
          <w:b/>
          <w:bCs/>
        </w:rPr>
        <w:t xml:space="preserve">Claims:</w:t>
      </w:r>
    </w:p>
    <w:p>
      <w:pPr>
        <w:spacing w:after="100" w:line="276"/>
        <w:ind w:left="360"/>
      </w:pPr>
      <w:r>
        <w:t xml:space="preserve">• Classical objectivity emerges via decoherence and redundancy.</w:t>
      </w:r>
    </w:p>
    <w:p>
      <w:pPr>
        <w:spacing w:after="100" w:line="276"/>
        <w:ind w:left="360"/>
      </w:pPr>
      <w:r>
        <w:t xml:space="preserve">• Wigner's Friend paradox admits an operational resolution without collapse.</w:t>
      </w:r>
    </w:p>
    <w:p>
      <w:pPr>
        <w:spacing w:after="200" w:line="276"/>
        <w:ind w:left="360"/>
      </w:pPr>
      <w:r>
        <w:t xml:space="preserve">• Experience can be consistently restricted to decohered histories without modifying quantum dynamics.</w:t>
      </w:r>
    </w:p>
    <w:p>
      <w:pPr>
        <w:spacing w:after="100" w:line="276"/>
      </w:pPr>
      <w:r>
        <w:rPr>
          <w:b/>
          <w:bCs/>
        </w:rPr>
        <w:t xml:space="preserve">Non-Claims:</w:t>
      </w:r>
    </w:p>
    <w:p>
      <w:pPr>
        <w:spacing w:after="100" w:line="276"/>
        <w:ind w:left="360"/>
      </w:pPr>
      <w:r>
        <w:t xml:space="preserve">• No derivation of the Born rule.</w:t>
      </w:r>
    </w:p>
    <w:p>
      <w:pPr>
        <w:spacing w:after="100" w:line="276"/>
        <w:ind w:left="360"/>
      </w:pPr>
      <w:r>
        <w:t xml:space="preserve">• No theory of consciousness.</w:t>
      </w:r>
    </w:p>
    <w:p>
      <w:pPr>
        <w:spacing w:after="200" w:line="276"/>
        <w:ind w:left="360"/>
      </w:pPr>
      <w:r>
        <w:t xml:space="preserve">• No new physical laws or experimental predictions.</w:t>
      </w:r>
    </w:p>
    <w:p>
      <w:pPr>
        <w:pStyle w:val="Heading1"/>
      </w:pPr>
      <w:r>
        <w:t xml:space="preserve">10. Conclusion</w:t>
      </w:r>
    </w:p>
    <w:p>
      <w:pPr>
        <w:spacing w:after="200" w:line="276"/>
      </w:pPr>
      <w:r>
        <w:t xml:space="preserve">Within standard quantum mechanics, a single unitary state can support both global coherence and locally definite experience. Decoherence explains objectivity; L2-compatibility explains why experience is restricted to record-stable histories. No collapse, branching, or observer-dependent dynamics are required.</w:t>
      </w:r>
    </w:p>
    <w:p>
      <w:r>
        <w:br w:type="page"/>
      </w:r>
    </w:p>
    <w:p>
      <w:pPr>
        <w:pStyle w:val="Heading1"/>
      </w:pPr>
      <w:r>
        <w:t xml:space="preserve">References</w:t>
      </w:r>
    </w:p>
    <w:p>
      <w:pPr>
        <w:spacing w:after="100" w:line="276"/>
      </w:pPr>
      <w:r>
        <w:t xml:space="preserve">[1] Zeh, H. D. (1970). On the interpretation of measurement in quantum theory. </w:t>
      </w:r>
      <w:r>
        <w:rPr>
          <w:i/>
          <w:iCs/>
        </w:rPr>
        <w:t xml:space="preserve">Foundations of Physics</w:t>
      </w:r>
      <w:r>
        <w:t xml:space="preserve">, 1(1), 69–76.</w:t>
      </w:r>
    </w:p>
    <w:p>
      <w:pPr>
        <w:spacing w:after="100" w:line="276"/>
      </w:pPr>
      <w:r>
        <w:t xml:space="preserve">[2] Zurek, W. H. (2003). Decoherence, einselection, and the quantum origins of the classical. </w:t>
      </w:r>
      <w:r>
        <w:rPr>
          <w:i/>
          <w:iCs/>
        </w:rPr>
        <w:t xml:space="preserve">Reviews of Modern Physics</w:t>
      </w:r>
      <w:r>
        <w:t xml:space="preserve">, 75(3), 715.</w:t>
      </w:r>
    </w:p>
    <w:p>
      <w:pPr>
        <w:spacing w:after="100" w:line="276"/>
      </w:pPr>
      <w:r>
        <w:t xml:space="preserve">[3] Zurek, W. H. (2009). Quantum Darwinism. </w:t>
      </w:r>
      <w:r>
        <w:rPr>
          <w:i/>
          <w:iCs/>
        </w:rPr>
        <w:t xml:space="preserve">Nature Physics</w:t>
      </w:r>
      <w:r>
        <w:t xml:space="preserve">, 5(3), 181–188.</w:t>
      </w:r>
    </w:p>
    <w:p>
      <w:pPr>
        <w:spacing w:after="100" w:line="276"/>
      </w:pPr>
      <w:r>
        <w:t xml:space="preserve">[4] Griffiths, R. B. (1984). Consistent histories and the interpretation of quantum mechanics. </w:t>
      </w:r>
      <w:r>
        <w:rPr>
          <w:i/>
          <w:iCs/>
        </w:rPr>
        <w:t xml:space="preserve">Journal of Statistical Physics</w:t>
      </w:r>
      <w:r>
        <w:t xml:space="preserve">, 36(1), 219–272.</w:t>
      </w:r>
    </w:p>
    <w:p>
      <w:pPr>
        <w:spacing w:after="100" w:line="276"/>
      </w:pPr>
      <w:r>
        <w:t xml:space="preserve">[5] Gell-Mann, M., &amp; Hartle, J. B. (1993). Classical equations for quantum systems. </w:t>
      </w:r>
      <w:r>
        <w:rPr>
          <w:i/>
          <w:iCs/>
        </w:rPr>
        <w:t xml:space="preserve">Physical Review D</w:t>
      </w:r>
      <w:r>
        <w:t xml:space="preserve">, 47(8), 3345.</w:t>
      </w:r>
    </w:p>
    <w:p>
      <w:pPr>
        <w:spacing w:after="100" w:line="276"/>
      </w:pPr>
      <w:r>
        <w:t xml:space="preserve">[6] Brukner, Č. (2018). A no-go theorem for observer-independent facts. </w:t>
      </w:r>
      <w:r>
        <w:rPr>
          <w:i/>
          <w:iCs/>
        </w:rPr>
        <w:t xml:space="preserve">Entropy</w:t>
      </w:r>
      <w:r>
        <w:t xml:space="preserve">, 20(5), 350.</w:t>
      </w:r>
    </w:p>
    <w:p>
      <w:pPr>
        <w:spacing w:after="100" w:line="276"/>
      </w:pPr>
      <w:r>
        <w:t xml:space="preserve">[7] Frauchiger, D., &amp; Renner, R. (2018). Quantum theory cannot consistently describe the use of itself. </w:t>
      </w:r>
      <w:r>
        <w:rPr>
          <w:i/>
          <w:iCs/>
        </w:rPr>
        <w:t xml:space="preserve">Nature Communications</w:t>
      </w:r>
      <w:r>
        <w:t xml:space="preserve">, 9(1), 3711.</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sz w:val="20"/>
        <w:szCs w:val="20"/>
      </w:rPr>
      <w:t xml:space="preserve">Unitary Decoherence and Wigner's Friend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Times New Roman" w:cs="Times New Roman" w:eastAsia="Times New Roman" w:hAnsi="Times New Roman"/>
      <w:b/>
      <w:bCs/>
      <w:sz w:val="48"/>
      <w:szCs w:val="48"/>
    </w:rPr>
  </w:style>
  <w:style w:type="paragraph" w:styleId="Heading1">
    <w:name w:val="Heading 1"/>
    <w:basedOn w:val="Normal"/>
    <w:next w:val="Normal"/>
    <w:qFormat/>
    <w:pPr>
      <w:spacing w:before="4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300" w:after="150"/>
      <w:outlineLvl w:val="1"/>
    </w:pPr>
    <w:rPr>
      <w:rFonts w:ascii="Times New Roman" w:cs="Times New Roman" w:eastAsia="Times New Roman" w:hAnsi="Times New Roman"/>
      <w:b/>
      <w:bCs/>
      <w:sz w:val="24"/>
      <w:szCs w:val="24"/>
    </w:rPr>
  </w:style>
  <w:style w:type="paragraph" w:styleId="Abstract">
    <w:name w:val="Abstract"/>
    <w:basedOn w:val="Normal"/>
    <w:pPr>
      <w:spacing w:after="200" w:line="276"/>
      <w:ind w:left="720" w:right="720"/>
    </w:pPr>
    <w:rPr>
      <w:rFonts w:ascii="Times New Roman" w:cs="Times New Roman" w:eastAsia="Times New Roman" w:hAnsi="Times New Roman"/>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2025-12-14T17:02:06.203Z</dcterms:created>
  <dcterms:modified xsi:type="dcterms:W3CDTF">2025-12-14T17:02:06.204Z</dcterms:modified>
</cp:coreProperties>
</file>

<file path=docProps/custom.xml><?xml version="1.0" encoding="utf-8"?>
<Properties xmlns="http://schemas.openxmlformats.org/officeDocument/2006/custom-properties" xmlns:vt="http://schemas.openxmlformats.org/officeDocument/2006/docPropsVTypes"/>
</file>