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077B6"/>
          <w:sz w:val="22"/>
          <w:szCs w:val="22"/>
        </w:rPr>
        <w:t xml:space="preserve">PROJETO APLICADO IV — ADS (UNISENAI)</w:t>
      </w:r>
    </w:p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Entrega 1 — Business Model Canvas (BMC)</w:t>
      </w:r>
    </w:p>
    <w:p>
      <w:pPr>
        <w:spacing w:after="300"/>
        <w:jc w:val="center"/>
      </w:pPr>
      <w:r>
        <w:rPr>
          <w:i/>
          <w:iCs/>
          <w:color w:val="3A3A3A"/>
          <w:sz w:val="22"/>
          <w:szCs w:val="22"/>
        </w:rPr>
        <w:t xml:space="preserve">Sistema B2B de Gestão Inteligente para Aluguel por Temporada</w:t>
      </w:r>
    </w:p>
    <w:p>
      <w:pPr>
        <w:pStyle w:val="Heading1"/>
        <w:spacing w:after="150" w:before="300"/>
      </w:pPr>
      <w:r>
        <w:t xml:space="preserve">1. Apresentação do Modelo de Negócio</w:t>
      </w:r>
    </w:p>
    <w:p>
      <w:pPr>
        <w:spacing w:after="160"/>
        <w:jc w:val="both"/>
      </w:pPr>
      <w:r>
        <w:rPr>
          <w:sz w:val="22"/>
          <w:szCs w:val="22"/>
        </w:rPr>
        <w:t xml:space="preserve">O Business Model Canvas (BMC) apresentado a seguir sintetiza, em um único quadro, a lógica de criação, entrega e captura de valor do Sistema B2B de Gestão Inteligente para Aluguel por Temporada. O modelo foi construído a partir do diagnóstico de mercado realizado junto a anfitriões independentes e pequenos gestores de imóveis da Grande Florianópolis, e orienta as decisões de escopo tomadas ao longo das 14 aulas do Projeto Aplicado IV.</w:t>
      </w:r>
    </w:p>
    <w:p>
      <w:pPr>
        <w:pStyle w:val="Heading1"/>
        <w:spacing w:after="150" w:before="300"/>
      </w:pPr>
      <w:r>
        <w:t xml:space="preserve">2. Quadro do Business Model Canvas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900"/>
        <w:gridCol w:w="1500"/>
        <w:gridCol w:w="1950"/>
      </w:tblGrid>
      <w:tr>
        <w:tc>
          <w:tcPr>
            <w:tcW w:type="dxa" w:w="1500"/>
            <w:vMerge w:val="restart"/>
            <w:shd w:fill="EAF4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0077B6"/>
                <w:sz w:val="16"/>
                <w:szCs w:val="16"/>
              </w:rPr>
              <w:t xml:space="preserve">PARCERIAS
PRINCIPAIS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3A3A3A"/>
                <w:sz w:val="15"/>
                <w:szCs w:val="15"/>
              </w:rPr>
              <w:t xml:space="preserve">Provedor de IA: Groq / OpenAI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3A3A3A"/>
                <w:sz w:val="15"/>
                <w:szCs w:val="15"/>
              </w:rPr>
              <w:t xml:space="preserve">Provedor de nuvem: Render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3A3A3A"/>
                <w:sz w:val="15"/>
                <w:szCs w:val="15"/>
              </w:rPr>
              <w:t xml:space="preserve">Provedor de nuvem: Vercel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3A3A3A"/>
                <w:sz w:val="15"/>
                <w:szCs w:val="15"/>
              </w:rPr>
              <w:t xml:space="preserve">Provedor de banco de dados: Supabase</w:t>
            </w:r>
          </w:p>
        </w:tc>
        <w:tc>
          <w:tcPr>
            <w:tcW w:type="dxa" w:w="1500"/>
            <w:shd w:fill="EAF4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0077B6"/>
                <w:sz w:val="16"/>
                <w:szCs w:val="16"/>
              </w:rPr>
              <w:t xml:space="preserve">ATIVIDADES-CHAVE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3A3A3A"/>
                <w:sz w:val="15"/>
                <w:szCs w:val="15"/>
              </w:rPr>
              <w:t xml:space="preserve">Desenvolvimento e manutenção da plataforma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3A3A3A"/>
                <w:sz w:val="15"/>
                <w:szCs w:val="15"/>
              </w:rPr>
              <w:t xml:space="preserve">Curadoria dos parâmetros de sazonalidade usados no prompt de IA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3A3A3A"/>
                <w:sz w:val="15"/>
                <w:szCs w:val="15"/>
              </w:rPr>
              <w:t xml:space="preserve">Suporte à validação com anfitriões reais</w:t>
            </w:r>
          </w:p>
        </w:tc>
        <w:tc>
          <w:tcPr>
            <w:tcW w:type="dxa" w:w="1900"/>
            <w:vMerge w:val="restart"/>
            <w:shd w:fill="0077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PROPOSTA DE VALOR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FFFFFF"/>
                <w:sz w:val="15"/>
                <w:szCs w:val="15"/>
              </w:rPr>
              <w:t xml:space="preserve">Reduzir a subjetividade na precificação de diárias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FFFFFF"/>
                <w:sz w:val="15"/>
                <w:szCs w:val="15"/>
              </w:rPr>
              <w:t xml:space="preserve">Reduzir o tempo operacional gasto por anfitriões e gestores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FFFFFF"/>
                <w:sz w:val="15"/>
                <w:szCs w:val="15"/>
              </w:rPr>
              <w:t xml:space="preserve">Sugestão de preços com IA contextualizada por bairro e sazonalidade em Florianópolis</w:t>
            </w:r>
          </w:p>
        </w:tc>
        <w:tc>
          <w:tcPr>
            <w:tcW w:type="dxa" w:w="1500"/>
            <w:shd w:fill="EAF4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0077B6"/>
                <w:sz w:val="16"/>
                <w:szCs w:val="16"/>
              </w:rPr>
              <w:t xml:space="preserve">RELACIONAMENTO
COM CLIENTES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3A3A3A"/>
                <w:sz w:val="15"/>
                <w:szCs w:val="15"/>
              </w:rPr>
              <w:t xml:space="preserve">Suporte direto da dupla durante a fase de validação (MVP)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3A3A3A"/>
                <w:sz w:val="15"/>
                <w:szCs w:val="15"/>
              </w:rPr>
              <w:t xml:space="preserve">Atendimento manual, sem automação nesta versão</w:t>
            </w:r>
          </w:p>
        </w:tc>
        <w:tc>
          <w:tcPr>
            <w:tcW w:type="dxa" w:w="1950"/>
            <w:vMerge w:val="restart"/>
            <w:shd w:fill="EAF4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0077B6"/>
                <w:sz w:val="16"/>
                <w:szCs w:val="16"/>
              </w:rPr>
              <w:t xml:space="preserve">SEGMENTOS DE
CLIENTES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3A3A3A"/>
                <w:sz w:val="15"/>
                <w:szCs w:val="15"/>
              </w:rPr>
              <w:t xml:space="preserve">Anfitriões independentes (1 a 5 imóveis)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3A3A3A"/>
                <w:sz w:val="15"/>
                <w:szCs w:val="15"/>
              </w:rPr>
              <w:t xml:space="preserve">Pousadas de pequeno porte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3A3A3A"/>
                <w:sz w:val="15"/>
                <w:szCs w:val="15"/>
              </w:rPr>
              <w:t xml:space="preserve">Property managers locais com carteira reduzida</w:t>
            </w:r>
          </w:p>
        </w:tc>
      </w:tr>
      <w:tr>
        <w:tc>
          <w:tcPr>
            <w:tcW w:type="dxa" w:w="1500"/>
            <w:vMerge w:val="continue"/>
            <w:shd w:fill="EAF4FB" w:val="clear"/>
          </w:tcPr>
          <w:p/>
        </w:tc>
        <w:tc>
          <w:tcPr>
            <w:tcW w:type="dxa" w:w="1500"/>
            <w:shd w:fill="EAF4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0077B6"/>
                <w:sz w:val="16"/>
                <w:szCs w:val="16"/>
              </w:rPr>
              <w:t xml:space="preserve">RECURSOS
PRINCIPAIS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3A3A3A"/>
                <w:sz w:val="15"/>
                <w:szCs w:val="15"/>
              </w:rPr>
              <w:t xml:space="preserve">Backend Spring Boot e banco PostgreSQL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3A3A3A"/>
                <w:sz w:val="15"/>
                <w:szCs w:val="15"/>
              </w:rPr>
              <w:t xml:space="preserve">Integração com API de IA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3A3A3A"/>
                <w:sz w:val="15"/>
                <w:szCs w:val="15"/>
              </w:rPr>
              <w:t xml:space="preserve">Know-how de sazonalidade turística local</w:t>
            </w:r>
          </w:p>
        </w:tc>
        <w:tc>
          <w:tcPr>
            <w:tcW w:type="dxa" w:w="1900"/>
            <w:vMerge w:val="continue"/>
            <w:shd w:fill="0077B6" w:val="clear"/>
          </w:tcPr>
          <w:p/>
        </w:tc>
        <w:tc>
          <w:tcPr>
            <w:tcW w:type="dxa" w:w="1500"/>
            <w:shd w:fill="EAF4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0077B6"/>
                <w:sz w:val="16"/>
                <w:szCs w:val="16"/>
              </w:rPr>
              <w:t xml:space="preserve">CANAIS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3A3A3A"/>
                <w:sz w:val="15"/>
                <w:szCs w:val="15"/>
              </w:rPr>
              <w:t xml:space="preserve">Plataforma web responsiva (acesso direto via navegador)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3A3A3A"/>
                <w:sz w:val="15"/>
                <w:szCs w:val="15"/>
              </w:rPr>
              <w:t xml:space="preserve">Divulgação inicial via grupos e associações locais de anfitriões</w:t>
            </w:r>
          </w:p>
        </w:tc>
        <w:tc>
          <w:tcPr>
            <w:tcW w:type="dxa" w:w="1950"/>
            <w:vMerge w:val="continue"/>
            <w:shd w:fill="EAF4FB" w:val="clear"/>
          </w:tcPr>
          <w:p/>
        </w:tc>
      </w:tr>
      <w:tr>
        <w:tc>
          <w:tcPr>
            <w:gridSpan w:val="3"/>
            <w:shd w:fill="1B3A5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ESTRUTURA DE CUSTOS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FFFFFF"/>
                <w:sz w:val="15"/>
                <w:szCs w:val="15"/>
              </w:rPr>
              <w:t xml:space="preserve">Hospedagem em camadas gratuitas (free tier: Render, Vercel, Supabase)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FFFFFF"/>
                <w:sz w:val="15"/>
                <w:szCs w:val="15"/>
              </w:rPr>
              <w:t xml:space="preserve">Custo variável por chamada à API de IA (Groq/OpenAI)</w:t>
            </w:r>
          </w:p>
        </w:tc>
        <w:tc>
          <w:tcPr>
            <w:gridSpan w:val="2"/>
            <w:shd w:fill="1B3A5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FONTES DE RECEITA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FFFFFF"/>
                <w:sz w:val="15"/>
                <w:szCs w:val="15"/>
              </w:rPr>
              <w:t xml:space="preserve">Modelo SaaS de assinatura mensal por imóvel cadastrado (hipótese de monetização, fora do escopo de implementação no MVP)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3. Detalhamento dos Blocos do Canvas</w:t>
      </w:r>
    </w:p>
    <w:p>
      <w:pPr>
        <w:pStyle w:val="Heading2"/>
        <w:spacing w:after="100" w:before="240"/>
      </w:pPr>
      <w:r>
        <w:t xml:space="preserve">3.1 Proposta de Valor</w:t>
      </w:r>
    </w:p>
    <w:p>
      <w:pPr>
        <w:spacing w:after="160"/>
        <w:jc w:val="both"/>
      </w:pPr>
      <w:r>
        <w:rPr>
          <w:sz w:val="22"/>
          <w:szCs w:val="22"/>
        </w:rPr>
        <w:t xml:space="preserve">Reduzir a subjetividade na precificação de diárias e o tempo operacional gasto por anfitriões e pequenos gestores de imóveis na Grande Florianópolis, por meio de um sistema que sugere preços diários com apoio de Inteligência Artificial, considerando sazonalidade, bairro e data de referência.</w:t>
      </w:r>
    </w:p>
    <w:p>
      <w:pPr>
        <w:pStyle w:val="Heading2"/>
        <w:spacing w:after="100" w:before="240"/>
      </w:pPr>
      <w:r>
        <w:t xml:space="preserve">3.2 Segmentos de Clientes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Anfitriões independentes</w:t>
      </w:r>
      <w:r>
        <w:rPr>
          <w:sz w:val="22"/>
          <w:szCs w:val="22"/>
        </w:rPr>
        <w:t xml:space="preserve"> com 1 a 5 imóveis administrados de forma autônoma.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Pousadas de pequeno porte</w:t>
      </w:r>
      <w:r>
        <w:rPr>
          <w:sz w:val="22"/>
          <w:szCs w:val="22"/>
        </w:rPr>
        <w:t xml:space="preserve"> com estrutura enxuta de gestão e poucos funcionários dedicados à precificação.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Property managers</w:t>
      </w:r>
      <w:r>
        <w:rPr>
          <w:sz w:val="22"/>
          <w:szCs w:val="22"/>
        </w:rPr>
        <w:t xml:space="preserve"> locais com carteira reduzida de imóveis, que ainda não utilizam ferramentas especializadas de revenue management.</w:t>
      </w:r>
    </w:p>
    <w:p>
      <w:pPr>
        <w:pStyle w:val="Heading2"/>
        <w:spacing w:after="100" w:before="240"/>
      </w:pPr>
      <w:r>
        <w:t xml:space="preserve">3.3 Canais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Plataforma web responsiva</w:t>
      </w:r>
      <w:r>
        <w:rPr>
          <w:sz w:val="22"/>
          <w:szCs w:val="22"/>
        </w:rPr>
        <w:t xml:space="preserve"> acesso direto via navegador, sem necessidade de instalação.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Divulgação inicial</w:t>
      </w:r>
      <w:r>
        <w:rPr>
          <w:sz w:val="22"/>
          <w:szCs w:val="22"/>
        </w:rPr>
        <w:t xml:space="preserve"> junto a grupos e associações locais de anfitriões da Grande Florianópolis, na fase de validação do MVP.</w:t>
      </w:r>
    </w:p>
    <w:p>
      <w:pPr>
        <w:pStyle w:val="Heading2"/>
        <w:spacing w:after="100" w:before="240"/>
      </w:pPr>
      <w:r>
        <w:t xml:space="preserve">3.4 Relacionamento com Clientes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Suporte direto</w:t>
      </w:r>
      <w:r>
        <w:rPr>
          <w:sz w:val="22"/>
          <w:szCs w:val="22"/>
        </w:rPr>
        <w:t xml:space="preserve"> mantido diretamente pela dupla executora durante a fase de validação do MVP.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Atendimento manual</w:t>
      </w:r>
      <w:r>
        <w:rPr>
          <w:sz w:val="22"/>
          <w:szCs w:val="22"/>
        </w:rPr>
        <w:t xml:space="preserve"> nesta versão do produto, sem chatbots ou centrais automatizadas de atendimento.</w:t>
      </w:r>
    </w:p>
    <w:p>
      <w:pPr>
        <w:pStyle w:val="Heading2"/>
        <w:spacing w:after="100" w:before="240"/>
      </w:pPr>
      <w:r>
        <w:t xml:space="preserve">3.5 Fontes de Receita</w:t>
      </w:r>
    </w:p>
    <w:p>
      <w:pPr>
        <w:spacing w:after="160"/>
        <w:jc w:val="both"/>
      </w:pPr>
      <w:r>
        <w:rPr>
          <w:sz w:val="22"/>
          <w:szCs w:val="22"/>
        </w:rPr>
        <w:t xml:space="preserve">Como hipótese de monetização — não implementada nesta entrega, mas registrada como direcionamento estratégico —, define-se um modelo SaaS de assinatura mensal cobrada por imóvel cadastrado na plataforma, alinhado ao padrão praticado por ferramentas de revenue management do setor de hospitalidade.</w:t>
      </w:r>
    </w:p>
    <w:p>
      <w:pPr>
        <w:pStyle w:val="Heading2"/>
        <w:spacing w:after="100" w:before="240"/>
      </w:pPr>
      <w:r>
        <w:t xml:space="preserve">3.6 Recursos Principais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Backend em Spring Boot</w:t>
      </w:r>
      <w:r>
        <w:rPr>
          <w:sz w:val="22"/>
          <w:szCs w:val="22"/>
        </w:rPr>
        <w:t xml:space="preserve"> responsável pela API REST, persistência de dados e regras de negócio.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Banco de dados PostgreSQL</w:t>
      </w:r>
      <w:r>
        <w:rPr>
          <w:sz w:val="22"/>
          <w:szCs w:val="22"/>
        </w:rPr>
        <w:t xml:space="preserve"> hospedado no Supabase, armazenando usuários, imóveis, reservas e sugestões de preço.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Integração com IA</w:t>
      </w:r>
      <w:r>
        <w:rPr>
          <w:sz w:val="22"/>
          <w:szCs w:val="22"/>
        </w:rPr>
        <w:t xml:space="preserve"> via RestClient nativo, consumindo a API Groq/OpenAI.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Know-how de domínio</w:t>
      </w:r>
      <w:r>
        <w:rPr>
          <w:sz w:val="22"/>
          <w:szCs w:val="22"/>
        </w:rPr>
        <w:t xml:space="preserve"> da dupla executora sobre sazonalidade turística da Grande Florianópolis, utilizado na construção dos prompts de IA.</w:t>
      </w:r>
    </w:p>
    <w:p>
      <w:pPr>
        <w:pStyle w:val="Heading2"/>
        <w:spacing w:after="100" w:before="240"/>
      </w:pPr>
      <w:r>
        <w:t xml:space="preserve">3.7 Atividades-Chave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Desenvolvimento e manutenção</w:t>
      </w:r>
      <w:r>
        <w:rPr>
          <w:sz w:val="22"/>
          <w:szCs w:val="22"/>
        </w:rPr>
        <w:t xml:space="preserve"> da plataforma ao longo das 14 aulas do projeto.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Curadoria</w:t>
      </w:r>
      <w:r>
        <w:rPr>
          <w:sz w:val="22"/>
          <w:szCs w:val="22"/>
        </w:rPr>
        <w:t xml:space="preserve"> dos parâmetros de sazonalidade e localização usados na construção do prompt enviado à API de IA.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Condução da validação de campo</w:t>
      </w:r>
      <w:r>
        <w:rPr>
          <w:sz w:val="22"/>
          <w:szCs w:val="22"/>
        </w:rPr>
        <w:t xml:space="preserve"> junto a um anfitrião ou gestor de imóveis real da Grande Florianópolis.</w:t>
      </w:r>
    </w:p>
    <w:p>
      <w:pPr>
        <w:pStyle w:val="Heading2"/>
        <w:spacing w:after="100" w:before="240"/>
      </w:pPr>
      <w:r>
        <w:t xml:space="preserve">3.8 Parcerias Principais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Provedor de IA:</w:t>
      </w:r>
      <w:r>
        <w:rPr>
          <w:sz w:val="22"/>
          <w:szCs w:val="22"/>
        </w:rPr>
        <w:t xml:space="preserve"> Groq / OpenAI — fornecimento do modelo de linguagem utilizado na sugestão de preços.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Provedor de nuvem (backend):</w:t>
      </w:r>
      <w:r>
        <w:rPr>
          <w:sz w:val="22"/>
          <w:szCs w:val="22"/>
        </w:rPr>
        <w:t xml:space="preserve"> Render — hospedagem do backend Spring Boot.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Provedor de nuvem (frontend):</w:t>
      </w:r>
      <w:r>
        <w:rPr>
          <w:sz w:val="22"/>
          <w:szCs w:val="22"/>
        </w:rPr>
        <w:t xml:space="preserve"> Vercel — hospedagem do frontend estático.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Provedor de banco de dados:</w:t>
      </w:r>
      <w:r>
        <w:rPr>
          <w:sz w:val="22"/>
          <w:szCs w:val="22"/>
        </w:rPr>
        <w:t xml:space="preserve"> Supabase — banco de dados PostgreSQL gerenciado.</w:t>
      </w:r>
    </w:p>
    <w:p>
      <w:pPr>
        <w:pStyle w:val="Heading2"/>
        <w:spacing w:after="100" w:before="240"/>
      </w:pPr>
      <w:r>
        <w:t xml:space="preserve">3.9 Estrutura de Custos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Hospedagem:</w:t>
      </w:r>
      <w:r>
        <w:rPr>
          <w:sz w:val="22"/>
          <w:szCs w:val="22"/>
        </w:rPr>
        <w:t xml:space="preserve"> utilização das camadas gratuitas (free tier) de Render, Vercel e Supabase durante o desenvolvimento e a validação do MVP.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Consumo de IA:</w:t>
      </w:r>
      <w:r>
        <w:rPr>
          <w:sz w:val="22"/>
          <w:szCs w:val="22"/>
        </w:rPr>
        <w:t xml:space="preserve"> custo por chamada à API de IA (Groq/OpenAI), proporcional ao volume de sugestões de preço geradas.</w:t>
      </w:r>
    </w:p>
    <w:p>
      <w:pPr>
        <w:pStyle w:val="Heading1"/>
        <w:spacing w:after="150" w:before="300"/>
      </w:pPr>
      <w:r>
        <w:t xml:space="preserve">4. Considerações Finais desta Entrega</w:t>
      </w:r>
    </w:p>
    <w:p>
      <w:pPr>
        <w:spacing w:after="160"/>
        <w:jc w:val="both"/>
      </w:pPr>
      <w:r>
        <w:rPr>
          <w:sz w:val="22"/>
          <w:szCs w:val="22"/>
        </w:rPr>
        <w:t xml:space="preserve">Este Business Model Canvas serve como referência estratégica para as decisões de escopo tomadas na matriz MoSCoW e no mapeamento de riscos técnicos do projeto, sendo revisitado ao final da execução (Capítulo 8 da documentação técnica) para verificar aderência entre o modelo de negócio proposto e o produto efetivamente entregue.</w:t>
      </w:r>
    </w:p>
    <w:sectPr>
      <w:pgSz w:w="11906" w:h="16838" w:orient="portrait"/>
      <w:pgMar w:top="900" w:right="850" w:bottom="9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2026-09-07T19:19:56.552Z</dcterms:created>
  <dcterms:modified xsi:type="dcterms:W3CDTF">2026-09-07T19:19:56.552Z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