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077B6"/>
          <w:sz w:val="22"/>
          <w:szCs w:val="22"/>
        </w:rPr>
        <w:t xml:space="preserve">PROJETO APLICADO IV — ADS (UNISENAI)</w:t>
      </w:r>
    </w:p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Plano de Trabalho e Ações do Semestre</w:t>
      </w:r>
    </w:p>
    <w:p>
      <w:pPr>
        <w:spacing w:after="300"/>
        <w:jc w:val="center"/>
      </w:pPr>
      <w:r>
        <w:rPr>
          <w:i/>
          <w:iCs/>
          <w:color w:val="3A3A3A"/>
          <w:sz w:val="22"/>
          <w:szCs w:val="22"/>
        </w:rPr>
        <w:t xml:space="preserve">Sistema B2B de Gestão Inteligente para Aluguel por Temporada</w:t>
      </w:r>
    </w:p>
    <w:p>
      <w:pPr>
        <w:pStyle w:val="Heading1"/>
        <w:spacing w:after="150" w:before="300"/>
      </w:pPr>
      <w:r>
        <w:t xml:space="preserve">1. Objetivo deste Plano</w:t>
      </w:r>
    </w:p>
    <w:p>
      <w:pPr>
        <w:spacing w:after="160"/>
        <w:jc w:val="both"/>
      </w:pPr>
      <w:r>
        <w:rPr>
          <w:sz w:val="22"/>
          <w:szCs w:val="22"/>
        </w:rPr>
        <w:t xml:space="preserve">Este documento apresenta o plano de trabalho e as ações previstas para a execução do Projeto Aplicado IV ao longo do semestre, organizando o cronograma de 14 aulas em cinco entregas avaliativas. O objetivo é orientar a dupla executora quanto às atividades, responsáveis e status de cada etapa, servindo como instrumento de acompanhamento contínuo do progresso do projeto.</w:t>
      </w:r>
    </w:p>
    <w:p>
      <w:pPr>
        <w:pStyle w:val="Heading1"/>
        <w:spacing w:after="150" w:before="300"/>
      </w:pPr>
      <w:r>
        <w:t xml:space="preserve">2. Cronograma Geral do Semestre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4550"/>
        <w:gridCol w:w="2400"/>
      </w:tblGrid>
      <w:tr>
        <w:tc>
          <w:tcPr>
            <w:tcW w:type="dxa" w:w="1000"/>
            <w:shd w:fill="0077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Semana</w:t>
            </w:r>
          </w:p>
        </w:tc>
        <w:tc>
          <w:tcPr>
            <w:tcW w:type="dxa" w:w="1400"/>
            <w:shd w:fill="0077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Aulas</w:t>
            </w:r>
          </w:p>
        </w:tc>
        <w:tc>
          <w:tcPr>
            <w:tcW w:type="dxa" w:w="4550"/>
            <w:shd w:fill="0077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Foco de Execução</w:t>
            </w:r>
          </w:p>
        </w:tc>
        <w:tc>
          <w:tcPr>
            <w:tcW w:type="dxa" w:w="2400"/>
            <w:shd w:fill="0077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Entrega Relacionada</w:t>
            </w:r>
          </w:p>
        </w:tc>
      </w:tr>
      <w:tr>
        <w:tc>
          <w:tcPr>
            <w:tcW w:type="dxa" w:w="1000"/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1–3</w:t>
            </w:r>
          </w:p>
        </w:tc>
        <w:tc>
          <w:tcPr>
            <w:tcW w:type="dxa" w:w="4550"/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Kickoff: definição de escopo, BMC, matriz MoSCoW, reaproveitamento do legado do PA III (autenticação)</w:t>
            </w:r>
          </w:p>
        </w:tc>
        <w:tc>
          <w:tcPr>
            <w:tcW w:type="dxa" w:w="2400"/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8"/>
                <w:szCs w:val="18"/>
              </w:rPr>
              <w:t xml:space="preserve">Entrega 1 — Kickoff (10%)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4–6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Modelagem de entidades (Imóvel, Reserva), estrutura Spring Boot, primeiro deploy no Render/Vercel/Supabase, início da esteira de CI/CD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8"/>
                <w:szCs w:val="18"/>
              </w:rPr>
              <w:t xml:space="preserve">Entrega 2 — Qualidade e Implantação (20%)</w:t>
            </w:r>
          </w:p>
        </w:tc>
      </w:tr>
      <w:tr>
        <w:tc>
          <w:tcPr>
            <w:tcW w:type="dxa" w:w="1000"/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7–9</w:t>
            </w:r>
          </w:p>
        </w:tc>
        <w:tc>
          <w:tcPr>
            <w:tcW w:type="dxa" w:w="4550"/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Implementação do PrecificacaoIaService, integração com Groq/OpenAI, persistência de SugestaoPreco, testes unitários com Mockito</w:t>
            </w:r>
          </w:p>
        </w:tc>
        <w:tc>
          <w:tcPr>
            <w:tcW w:type="dxa" w:w="2400"/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8"/>
                <w:szCs w:val="18"/>
              </w:rPr>
              <w:t xml:space="preserve">Entrega 3 — Dados + IA (20%)</w:t>
            </w:r>
          </w:p>
        </w:tc>
      </w:tr>
      <w:tr>
        <w:tc>
          <w:tcPr>
            <w:tcW w:type="dxa" w:w="1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10–12</w:t>
            </w:r>
          </w:p>
        </w:tc>
        <w:tc>
          <w:tcPr>
            <w:tcW w:type="dxa" w:w="4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Finalização do frontend com Chart.js, polimento de UX responsivo, gravação do vídeo de demonstração, validação em campo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8"/>
                <w:szCs w:val="18"/>
              </w:rPr>
              <w:t xml:space="preserve">Entrega 4 — Produto Final + Vídeo (25%)</w:t>
            </w:r>
          </w:p>
        </w:tc>
      </w:tr>
      <w:tr>
        <w:tc>
          <w:tcPr>
            <w:tcW w:type="dxa" w:w="1000"/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13–14</w:t>
            </w:r>
          </w:p>
        </w:tc>
        <w:tc>
          <w:tcPr>
            <w:tcW w:type="dxa" w:w="4550"/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Consolidação da documentação técnica e acadêmica, ensaio e apresentação</w:t>
            </w:r>
          </w:p>
        </w:tc>
        <w:tc>
          <w:tcPr>
            <w:tcW w:type="dxa" w:w="2400"/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8"/>
                <w:szCs w:val="18"/>
              </w:rPr>
              <w:t xml:space="preserve">Entrega 5 — Banca Final (25%)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t xml:space="preserve">3. Plano de Ação Detalhado por Entrega</w:t>
      </w:r>
    </w:p>
    <w:p>
      <w:pPr>
        <w:spacing w:after="160"/>
        <w:jc w:val="both"/>
      </w:pPr>
      <w:r>
        <w:rPr>
          <w:sz w:val="22"/>
          <w:szCs w:val="22"/>
        </w:rPr>
        <w:t xml:space="preserve">A tabela a seguir desdobra cada entrega em ações concretas, com indicação do responsável dentro da dupla e do status de execução. O status deve ser atualizado pela dupla ao longo do semestre (A iniciar / Em andamento / Concluído).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4700"/>
        <w:gridCol w:w="1600"/>
        <w:gridCol w:w="1500"/>
      </w:tblGrid>
      <w:tr>
        <w:tc>
          <w:tcPr>
            <w:tcW w:type="dxa" w:w="1550"/>
            <w:shd w:fill="0077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Entrega</w:t>
            </w:r>
          </w:p>
        </w:tc>
        <w:tc>
          <w:tcPr>
            <w:tcW w:type="dxa" w:w="4700"/>
            <w:shd w:fill="0077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Ações Planejadas</w:t>
            </w:r>
          </w:p>
        </w:tc>
        <w:tc>
          <w:tcPr>
            <w:tcW w:type="dxa" w:w="1600"/>
            <w:shd w:fill="0077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1500"/>
            <w:shd w:fill="0077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550"/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8"/>
                <w:szCs w:val="18"/>
              </w:rPr>
              <w:t xml:space="preserve">Entrega 1
Kickoff</w:t>
            </w:r>
          </w:p>
        </w:tc>
        <w:tc>
          <w:tcPr>
            <w:tcW w:type="dxa" w:w="4700"/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Refinar diagnóstico do problema e proposta de valor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Construir o Business Model Canvas (BMC)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Delimitar escopo via matriz MoSCoW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Mapear riscos técnicos e ações de mitigação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Levantar e adaptar entidades de autenticação do PA III</w:t>
            </w:r>
          </w:p>
        </w:tc>
        <w:tc>
          <w:tcPr>
            <w:tcW w:type="dxa" w:w="1600"/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Integrante 1 e 2 (em par)</w:t>
            </w:r>
          </w:p>
        </w:tc>
        <w:tc>
          <w:tcPr>
            <w:tcW w:type="dxa" w:w="1500"/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A iniciar</w:t>
            </w:r>
          </w:p>
        </w:tc>
      </w:tr>
      <w:tr>
        <w:tc>
          <w:tcPr>
            <w:tcW w:type="dxa" w:w="1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8"/>
                <w:szCs w:val="18"/>
              </w:rPr>
              <w:t xml:space="preserve">Entrega 2
Qualidade e Implantação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Modelar entidades Imovel e Reserva (JPA)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Implementar CRUD de imóveis e reservas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Configurar banco PostgreSQL no Supabase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Realizar primeiro deploy (Render + Vercel)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Criar esteira inicial de CI/CD no GitHub Actions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Integrante 1: backend / Integrante 2: infraestrutura e deploy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A iniciar</w:t>
            </w:r>
          </w:p>
        </w:tc>
      </w:tr>
      <w:tr>
        <w:tc>
          <w:tcPr>
            <w:tcW w:type="dxa" w:w="1550"/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8"/>
                <w:szCs w:val="18"/>
              </w:rPr>
              <w:t xml:space="preserve">Entrega 3
Dados + IA</w:t>
            </w:r>
          </w:p>
        </w:tc>
        <w:tc>
          <w:tcPr>
            <w:tcW w:type="dxa" w:w="4700"/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Implementar PrecificacaoIaService com RestClient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Integrar com API Groq/OpenAI e tratar fallback de erro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Persistir histórico em SugestaoPreco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Escrever testes unitários com JUnit 5 e Mockito</w:t>
            </w:r>
          </w:p>
        </w:tc>
        <w:tc>
          <w:tcPr>
            <w:tcW w:type="dxa" w:w="1600"/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Integrante 1: integração IA / Integrante 2: testes</w:t>
            </w:r>
          </w:p>
        </w:tc>
        <w:tc>
          <w:tcPr>
            <w:tcW w:type="dxa" w:w="1500"/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A iniciar</w:t>
            </w:r>
          </w:p>
        </w:tc>
      </w:tr>
      <w:tr>
        <w:tc>
          <w:tcPr>
            <w:tcW w:type="dxa" w:w="155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8"/>
                <w:szCs w:val="18"/>
              </w:rPr>
              <w:t xml:space="preserve">Entrega 4
Produto Final + Vídeo</w:t>
            </w:r>
          </w:p>
        </w:tc>
        <w:tc>
          <w:tcPr>
            <w:tcW w:type="dxa" w:w="47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Finalizar frontend responsivo e gráfico Chart.js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Realizar validação em campo com anfitrião real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Ajustar usabilidade a partir do feedback coletado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Gravar e editar vídeo de demonstração do produto</w:t>
            </w:r>
          </w:p>
        </w:tc>
        <w:tc>
          <w:tcPr>
            <w:tcW w:type="dxa" w:w="1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Integrante 1: frontend / Integrante 2: validação e vídeo</w:t>
            </w:r>
          </w:p>
        </w:tc>
        <w:tc>
          <w:tcPr>
            <w:tcW w:type="dxa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A iniciar</w:t>
            </w:r>
          </w:p>
        </w:tc>
      </w:tr>
      <w:tr>
        <w:tc>
          <w:tcPr>
            <w:tcW w:type="dxa" w:w="1550"/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3A3A3A"/>
                <w:sz w:val="18"/>
                <w:szCs w:val="18"/>
              </w:rPr>
              <w:t xml:space="preserve">Entrega 5
Banca Final</w:t>
            </w:r>
          </w:p>
        </w:tc>
        <w:tc>
          <w:tcPr>
            <w:tcW w:type="dxa" w:w="4700"/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Consolidar documentação técnica e acadêmica completa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Revisar todos os diagramas Mermaid e códigos-fonte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Ensaiar apresentação e dividir os tópicos da banca</w:t>
            </w:r>
          </w:p>
        </w:tc>
        <w:tc>
          <w:tcPr>
            <w:tcW w:type="dxa" w:w="1600"/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Integrante 1 e 2 (em par)</w:t>
            </w:r>
          </w:p>
        </w:tc>
        <w:tc>
          <w:tcPr>
            <w:tcW w:type="dxa" w:w="1500"/>
            <w:shd w:fill="EAF4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color w:val="3A3A3A"/>
                <w:sz w:val="18"/>
                <w:szCs w:val="18"/>
              </w:rPr>
              <w:t xml:space="preserve">A iniciar</w:t>
            </w:r>
          </w:p>
        </w:tc>
      </w:tr>
    </w:tbl>
    <w:p>
      <w:pPr>
        <w:pStyle w:val="Heading1"/>
        <w:spacing w:after="150" w:before="300"/>
      </w:pPr>
      <w:r>
        <w:t xml:space="preserve">4. Divisão de Responsabilidades da Dupla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Integrante 1 —</w:t>
      </w:r>
      <w:r>
        <w:rPr>
          <w:sz w:val="22"/>
          <w:szCs w:val="22"/>
        </w:rPr>
        <w:t xml:space="preserve"> concentra-se nas atividades de backend: modelagem de entidades, regras de negócio, integração com a API de IA e testes unitários.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Integrante 2 —</w:t>
      </w:r>
      <w:r>
        <w:rPr>
          <w:sz w:val="22"/>
          <w:szCs w:val="22"/>
        </w:rPr>
        <w:t xml:space="preserve"> concentra-se nas atividades de infraestrutura, frontend e validação: configuração de deploy, pipeline de CI/CD, interface responsiva, condução da validação em campo e produção do vídeo de demonstração.</w:t>
      </w:r>
    </w:p>
    <w:p>
      <w:pPr>
        <w:spacing w:after="160"/>
        <w:jc w:val="both"/>
      </w:pPr>
      <w:r>
        <w:rPr>
          <w:sz w:val="22"/>
          <w:szCs w:val="22"/>
        </w:rPr>
        <w:t xml:space="preserve">Essa divisão é orientativa e não rígida: pontos de integração entre backend e frontend (como o consumo dos endpoints de sugestão de preço) e a consolidação final da documentação (Entrega 5) são conduzidos em conjunto pela dupla.</w:t>
      </w:r>
    </w:p>
    <w:p>
      <w:pPr>
        <w:pStyle w:val="Heading1"/>
        <w:spacing w:after="150" w:before="300"/>
      </w:pPr>
      <w:r>
        <w:t xml:space="preserve">5. Indicadores de Acompanhamento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Progresso funcional:</w:t>
      </w:r>
      <w:r>
        <w:rPr>
          <w:sz w:val="22"/>
          <w:szCs w:val="22"/>
        </w:rPr>
        <w:t xml:space="preserve"> percentual de requisitos funcionais implementados em relação ao total mapeado no Capítulo 3 da documentação técnica.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Qualidade:</w:t>
      </w:r>
      <w:r>
        <w:rPr>
          <w:sz w:val="22"/>
          <w:szCs w:val="22"/>
        </w:rPr>
        <w:t xml:space="preserve"> cobertura de testes unitários nas regras de negócio críticas (reservas e precificação).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CI/CD:</w:t>
      </w:r>
      <w:r>
        <w:rPr>
          <w:sz w:val="22"/>
          <w:szCs w:val="22"/>
        </w:rPr>
        <w:t xml:space="preserve"> sucesso das execuções do pipeline GitHub Actions a cada push na branch principal.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Ritmo de equipe:</w:t>
      </w:r>
      <w:r>
        <w:rPr>
          <w:sz w:val="22"/>
          <w:szCs w:val="22"/>
        </w:rPr>
        <w:t xml:space="preserve"> registro de reuniões semanais da dupla para revisão do status de cada ação deste plano.</w:t>
      </w:r>
    </w:p>
    <w:p>
      <w:pPr>
        <w:pStyle w:val="Heading1"/>
        <w:spacing w:after="150" w:before="300"/>
      </w:pPr>
      <w:r>
        <w:t xml:space="preserve">6. Riscos ao Cronograma e Ações Preventivas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Atraso na integração com a IA:</w:t>
      </w:r>
      <w:r>
        <w:rPr>
          <w:sz w:val="22"/>
          <w:szCs w:val="22"/>
        </w:rPr>
        <w:t xml:space="preserve"> iniciar a integração com a API de IA já na Entrega 2, antes do prazo formal da Entrega 3, reduzindo risco de atraso por instabilidade externa.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Dificuldade de agendar a validação em campo:</w:t>
      </w:r>
      <w:r>
        <w:rPr>
          <w:sz w:val="22"/>
          <w:szCs w:val="22"/>
        </w:rPr>
        <w:t xml:space="preserve"> agendar o contato com o anfitrião ou gestor de imóveis já na 2ª semana do semestre, garantindo disponibilidade antes da Entrega 4.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sz w:val="22"/>
          <w:szCs w:val="22"/>
        </w:rPr>
        <w:t xml:space="preserve">Sobrecarga da dupla em semanas de prova:</w:t>
      </w:r>
      <w:r>
        <w:rPr>
          <w:sz w:val="22"/>
          <w:szCs w:val="22"/>
        </w:rPr>
        <w:t xml:space="preserve"> priorizar rigorosamente os itens MUST da matriz MoSCoW (documentação técnica, Capítulo 2) caso o cronograma sofra atrasos.</w:t>
      </w:r>
    </w:p>
    <w:p>
      <w:pPr>
        <w:pStyle w:val="Heading1"/>
        <w:spacing w:after="150" w:before="300"/>
      </w:pPr>
      <w:r>
        <w:t xml:space="preserve">7. Considerações Finais</w:t>
      </w:r>
    </w:p>
    <w:p>
      <w:pPr>
        <w:spacing w:after="160"/>
        <w:jc w:val="both"/>
      </w:pPr>
      <w:r>
        <w:rPr>
          <w:sz w:val="22"/>
          <w:szCs w:val="22"/>
        </w:rPr>
        <w:t xml:space="preserve">Este plano de trabalho deve ser revisado pela dupla ao final de cada entrega, atualizando o status das ações e ajustando prazos internos quando necessário, sem comprometer as datas oficiais das cinco entregas avaliativas da disciplina.</w:t>
      </w:r>
    </w:p>
    <w:sectPr>
      <w:pgSz w:w="11906" w:h="16838" w:orient="portrait"/>
      <w:pgMar w:top="900" w:right="850" w:bottom="9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2026-09-07T19:23:16.029Z</dcterms:created>
  <dcterms:modified xsi:type="dcterms:W3CDTF">2026-09-07T19:23:16.040Z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