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F2F42"/>
          <w:sz w:val="28"/>
        </w:rPr>
        <w:t>LawBridge Practical Skills Course</w:t>
      </w:r>
    </w:p>
    <w:p>
      <w:pPr>
        <w:spacing w:after="80"/>
        <w:jc w:val="center"/>
      </w:pPr>
      <w:r>
        <w:rPr>
          <w:rFonts w:ascii="Calibri" w:hAnsi="Calibri"/>
          <w:b/>
          <w:color w:val="1F2F42"/>
          <w:sz w:val="28"/>
        </w:rPr>
        <w:t>Case Simulation 10 | AO-02</w:t>
      </w:r>
    </w:p>
    <w:p>
      <w:pPr>
        <w:spacing w:after="160"/>
        <w:jc w:val="center"/>
      </w:pPr>
      <w:r>
        <w:rPr>
          <w:rFonts w:ascii="Calibri" w:hAnsi="Calibri"/>
          <w:b/>
          <w:color w:val="1F2F42"/>
          <w:sz w:val="28"/>
        </w:rPr>
        <w:t>Oral Application in a Business Interruption Insurance Dispute</w:t>
      </w:r>
    </w:p>
    <w:p>
      <w:pPr>
        <w:spacing w:after="80" w:before="0" w:line="252" w:lineRule="auto"/>
      </w:pPr>
      <w:r>
        <w:rPr>
          <w:rFonts w:ascii="Calibri" w:hAnsi="Calibri"/>
          <w:b/>
          <w:i w:val="0"/>
          <w:sz w:val="24"/>
        </w:rPr>
        <w:t>Detailed Exhibit Pack and Practice Tasks | Student Version | v4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Skill focus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Advocacy and Oral Presentation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Matter type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Cyber insurance coverage dispute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Difficulty level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Intermediate to Advanced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Student role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Junior lawyer preparing oral arguments on policy coverage and exclusions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Recommended time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95-115 minutes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Applicable Legal Framework note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This simulation is applicable legal framework-neutral. Students should identify points that require applicable legal verification rather than assuming a specific legal system.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Version</w:t>
            </w:r>
          </w:p>
        </w:tc>
        <w:tc>
          <w:tcPr>
            <w:tcW w:type="dxa" w:w="5184"/>
            <w:vAlign w:val="top"/>
          </w:tcPr>
          <w:p>
            <w:r>
              <w:t>v4 - letterhead and skill-labelled running header added</w:t>
            </w:r>
          </w:p>
        </w:tc>
      </w:tr>
    </w:tbl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How to Use This Simulation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Read the exhibits as if this is a live matter file.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Do not rely on the exhibit index as a summary of the issues.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Extract the relevant clauses, dates, facts, figures, obligations, deadlines and missing information yourself.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Record where each point appears, using exhibit labels and clause numbers where available.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Separate what is known from what is assumed, disputed or missing.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Prepare a practical output for a supervisor or client using only the evidence in the file.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Learning Outcomes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Prepare submissions on policy wording and factual evidence.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Handle unfavourable cybersecurity facts responsibly.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Address causation, exclusion and mitigation issues.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Respond to questions under pressure.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Frame a practical remedy or next procedural step.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Student Task Brief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sz w:val="24"/>
        </w:rPr>
        <w:t>A company claims under a cyber insurance policy after ransomware interrupted operations. The insurer says an exclusion applies because the client lacked basic cybersecurity controls. Prepare oral submissions for a coverage meeting.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Student Practice Tasks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sz w:val="24"/>
        </w:rPr>
        <w:t>Complete the following practice tasks as a trainee-style matter file review. Your answers must cite the relevant exhibit, clause, date, email, log entry or policy wording. Do not give broad commentary where a specific document reference is available.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Required Submission Bundle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Output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What it must include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Evidence standard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Oral argument outline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Coverage position, exclusion response, facts, weaknesses and requested outcome.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Must cite policy wording and technical evidence.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Question response sheet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Difficult questions and concise answers.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Must avoid evasion.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Risk note for supervisor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Weak evidence, settlement risk and further proof needed.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Must be candid and practical.</w:t>
            </w:r>
          </w:p>
        </w:tc>
      </w:tr>
    </w:tbl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Detailed Practice Tasks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Extract the coverage clause and exclusion wording.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Build a timeline of attack, interruption and recovery.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Identify facts supporting the claim.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Identify facts supporting the insurer’s exclusion argument.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Prepare an opening submission.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Prepare argument on why exclusion should not automatically defeat cover.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Prepare answers to cybersecurity control questions.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Identify evidence still needed.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Prepare closing request.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Reflect on settlement or procedural options.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Working Method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Start with the exhibit index, but do not treat it as a summary of the answer.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Mark every clause, date, figure and disputed factual point that affects advice or drafting.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Separate confirmed facts, disputed facts, assumptions, missing information and legal points requiring further checking.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Keep supervisor-facing outputs concise: lead with the practical risk, then the evidence, then the next step.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Exhibit Index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Exhibit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Document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What students must decide for themselves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Supervisor Instruction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How does this evidence support or weaken the oral submission?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Policy Extract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How does this evidence support or weaken the oral submission?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Incident Timeline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How does this evidence support or weaken the oral submission?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Cybersecurity Report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How does this evidence support or weaken the oral submission?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Insurer Reservation Letter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How does this evidence support or weaken the oral submission?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Loss Summary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How does this evidence support or weaken the oral submission?</w:t>
            </w:r>
          </w:p>
        </w:tc>
      </w:tr>
    </w:tbl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Clause and Fact Extraction Grid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Item to extract</w:t>
            </w:r>
          </w:p>
        </w:tc>
        <w:tc>
          <w:tcPr>
            <w:tcW w:type="dxa" w:w="2592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Exhibit / clause / page</w:t>
            </w:r>
          </w:p>
        </w:tc>
        <w:tc>
          <w:tcPr>
            <w:tcW w:type="dxa" w:w="2592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Why it matters</w:t>
            </w:r>
          </w:p>
        </w:tc>
        <w:tc>
          <w:tcPr>
            <w:tcW w:type="dxa" w:w="2592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Action or follow-up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Risk and Action Grid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9"/>
              </w:rPr>
            </w:r>
            <w:r>
              <w:rPr>
                <w:rFonts w:ascii="Calibri" w:hAnsi="Calibri"/>
                <w:b/>
                <w:color w:val="1F2F42"/>
                <w:sz w:val="19"/>
              </w:rPr>
              <w:t>Risk category</w:t>
            </w:r>
          </w:p>
        </w:tc>
        <w:tc>
          <w:tcPr>
            <w:tcW w:type="dxa" w:w="2592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9"/>
              </w:rPr>
            </w:r>
            <w:r>
              <w:rPr>
                <w:rFonts w:ascii="Calibri" w:hAnsi="Calibri"/>
                <w:b/>
                <w:color w:val="1F2F42"/>
                <w:sz w:val="19"/>
              </w:rPr>
              <w:t>Evidence found</w:t>
            </w:r>
          </w:p>
        </w:tc>
        <w:tc>
          <w:tcPr>
            <w:tcW w:type="dxa" w:w="2592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9"/>
              </w:rPr>
            </w:r>
            <w:r>
              <w:rPr>
                <w:rFonts w:ascii="Calibri" w:hAnsi="Calibri"/>
                <w:b/>
                <w:color w:val="1F2F42"/>
                <w:sz w:val="19"/>
              </w:rPr>
              <w:t>Severity</w:t>
            </w:r>
          </w:p>
        </w:tc>
        <w:tc>
          <w:tcPr>
            <w:tcW w:type="dxa" w:w="2592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9"/>
              </w:rPr>
            </w:r>
            <w:r>
              <w:rPr>
                <w:rFonts w:ascii="Calibri" w:hAnsi="Calibri"/>
                <w:b/>
                <w:color w:val="1F2F42"/>
                <w:sz w:val="19"/>
              </w:rPr>
              <w:t>Recommended response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Legal / contractual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Commercial / financial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Operational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Reputational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Ethics / professional judgment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Evidence gaps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Timing / deadline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Exhibit 1: Supervisor Instruction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Date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19 January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From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Insurance disputes supervisor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To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Student</w:t>
            </w:r>
          </w:p>
        </w:tc>
      </w:tr>
    </w:tbl>
    <w:p>
      <w:pPr>
        <w:spacing w:after="80" w:before="0" w:line="252" w:lineRule="auto"/>
      </w:pPr>
      <w:r>
        <w:rPr>
          <w:rFonts w:ascii="Calibri" w:hAnsi="Calibri"/>
          <w:b w:val="0"/>
          <w:i w:val="0"/>
          <w:sz w:val="24"/>
        </w:rPr>
        <w:t>Prepare a six-minute oral submission for a coverage conference. We act for Meridian Retail Group. The insurer has reserved rights and may rely on cybersecurity exclusions.</w:t>
      </w:r>
    </w:p>
    <w:p>
      <w:pPr>
        <w:spacing w:after="80" w:before="0" w:line="252" w:lineRule="auto"/>
      </w:pPr>
      <w:r>
        <w:rPr>
          <w:rFonts w:ascii="Calibri" w:hAnsi="Calibri"/>
          <w:b/>
          <w:i w:val="0"/>
          <w:sz w:val="24"/>
        </w:rPr>
        <w:t>Student extraction notes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Exhibit 2: Policy Extract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Document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Cyber Protection Policy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Status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Relevant clauses only</w:t>
            </w:r>
          </w:p>
        </w:tc>
      </w:tr>
    </w:tbl>
    <w:p>
      <w:pPr>
        <w:spacing w:after="80" w:before="0" w:line="252" w:lineRule="auto"/>
      </w:pPr>
      <w:r>
        <w:rPr>
          <w:rFonts w:ascii="Calibri" w:hAnsi="Calibri"/>
          <w:b w:val="0"/>
          <w:i w:val="0"/>
          <w:sz w:val="24"/>
        </w:rPr>
        <w:t>The policy covers reasonable business interruption losses caused by a cyber extortion event, subject to terms, conditions and exclusions. The policy excludes losses arising from the insured’s failure to maintain minimum cybersecurity standards materially contributing to the event.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Check item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Evidence in exhibit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Student note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What must the insurer prove?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What does materially contributing suggest?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What losses are covered?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after="80" w:before="0" w:line="252" w:lineRule="auto"/>
      </w:pPr>
      <w:r>
        <w:rPr>
          <w:rFonts w:ascii="Calibri" w:hAnsi="Calibri"/>
          <w:b/>
          <w:i w:val="0"/>
          <w:sz w:val="24"/>
        </w:rPr>
        <w:t>Student extraction notes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Exhibit 3: Incident Timeline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Prepared by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Meridian IT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Status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Initial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Date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Event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Significance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Day 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Phishing email received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Attack vector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Day 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Systems encrypted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Covered event possible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Day 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Retail operations halted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Business interruption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Day 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Partial restoration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Loss period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Day 9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Full restoration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Mitigation and quantum</w:t>
            </w:r>
          </w:p>
        </w:tc>
      </w:tr>
    </w:tbl>
    <w:p>
      <w:pPr>
        <w:spacing w:after="80" w:before="0" w:line="252" w:lineRule="auto"/>
      </w:pPr>
      <w:r>
        <w:rPr>
          <w:rFonts w:ascii="Calibri" w:hAnsi="Calibri"/>
          <w:b/>
          <w:i w:val="0"/>
          <w:sz w:val="24"/>
        </w:rPr>
        <w:t>Student extraction notes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Exhibit 4: Cybersecurity Report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Prepared by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External consultant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Status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Draft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Finding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Detail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Advocacy issue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MFA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Not enabled for legacy admin account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Unfavourable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Training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Annual training overdue by two months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Unfavourable but causation unclear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Patch status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Known vulnerability patched after incident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Need link to attack vector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Backups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Offline backup restored core systems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Helpful mitigation point</w:t>
            </w:r>
          </w:p>
        </w:tc>
      </w:tr>
    </w:tbl>
    <w:p>
      <w:pPr>
        <w:spacing w:after="80" w:before="0" w:line="252" w:lineRule="auto"/>
      </w:pPr>
      <w:r>
        <w:rPr>
          <w:rFonts w:ascii="Calibri" w:hAnsi="Calibri"/>
          <w:b/>
          <w:i w:val="0"/>
          <w:sz w:val="24"/>
        </w:rPr>
        <w:t>Student extraction notes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Exhibit 5: Insurer Reservation Letter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Date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18 January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From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Claims Handler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Status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Coverage position</w:t>
            </w:r>
          </w:p>
        </w:tc>
      </w:tr>
    </w:tbl>
    <w:p>
      <w:pPr>
        <w:spacing w:after="80" w:before="0" w:line="252" w:lineRule="auto"/>
      </w:pPr>
      <w:r>
        <w:rPr>
          <w:rFonts w:ascii="Calibri" w:hAnsi="Calibri"/>
          <w:b w:val="0"/>
          <w:i w:val="0"/>
          <w:sz w:val="24"/>
        </w:rPr>
        <w:t>The insurer reserves all rights while investigating whether Meridian failed to maintain minimum cybersecurity standards. The insurer requires evidence of training, patching, access controls, incident response and business interruption quantum.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Check item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Evidence in exhibit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Student note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What is actually denied?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What is still under investigation?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What evidence should be supplied?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after="80" w:before="0" w:line="252" w:lineRule="auto"/>
      </w:pPr>
      <w:r>
        <w:rPr>
          <w:rFonts w:ascii="Calibri" w:hAnsi="Calibri"/>
          <w:b/>
          <w:i w:val="0"/>
          <w:sz w:val="24"/>
        </w:rPr>
        <w:t>Student extraction notes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Exhibit 6: Loss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Prepared by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Finance Director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Status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Draft estimate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Loss category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Estimate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Evidence issue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Lost online sales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640,000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Forecast basis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Extra staffing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42,000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Timesheets available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Forensic costs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75,000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Invoices available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Brand campaign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110,000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May be mitigation/reputation mixed</w:t>
            </w:r>
          </w:p>
        </w:tc>
      </w:tr>
    </w:tbl>
    <w:p>
      <w:pPr>
        <w:spacing w:after="80" w:before="0" w:line="252" w:lineRule="auto"/>
      </w:pPr>
      <w:r>
        <w:rPr>
          <w:rFonts w:ascii="Calibri" w:hAnsi="Calibri"/>
          <w:b/>
          <w:i w:val="0"/>
          <w:sz w:val="24"/>
        </w:rPr>
        <w:t>Student extraction notes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Final Student Submission Checklist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sz w:val="24"/>
        </w:rPr>
        <w:t>☐ I have identified the relevant clauses, documents and factual evidence.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sz w:val="24"/>
        </w:rPr>
        <w:t>☐ I have distinguished agreed facts from disputed facts.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sz w:val="24"/>
        </w:rPr>
        <w:t>☐ I have identified missing information and practical follow-up questions.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sz w:val="24"/>
        </w:rPr>
        <w:t>☐ I have considered commercial, ethical, client-care and reputational risks.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sz w:val="24"/>
        </w:rPr>
        <w:t>☐ I have avoided giving applicable law conclusions without checking the applicable legal framework.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sz w:val="24"/>
        </w:rPr>
        <w:t>☐ I have prepared a concise, practical and professional output.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Reflection Questions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Which exhibit changed your initial view of the case the most?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Which clause or document was easiest to miss?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What information would you request before advising the client?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What would you escalate to a supervisor and why?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How would your approach change if the client had urgent commercial pressure?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80" w:before="0" w:line="252" w:lineRule="auto"/>
      </w:pPr>
      <w:r>
        <w:rPr>
          <w:rFonts w:ascii="Calibri" w:hAnsi="Calibri"/>
          <w:b w:val="0"/>
          <w:i/>
          <w:sz w:val="24"/>
        </w:rPr>
        <w:t>LawBridge Practical Skills Course | Case 10 | Student Exhibit Pack v4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376" w:right="936" w:bottom="1584" w:left="936" w:header="72" w:footer="7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126480" cy="117168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1171689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/>
      <w:jc w:val="center"/>
    </w:pPr>
    <w:r>
      <w:rPr>
        <w:rFonts w:ascii="Calibri" w:hAnsi="Calibri" w:eastAsia="Calibri"/>
        <w:sz w:val="14"/>
      </w:rPr>
      <w:t>AO-02 | Advocacy and Oral Presentation | LawBridge Practical Skills Course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before="0"/>
      <w:jc w:val="center"/>
    </w:pPr>
    <w:r>
      <w:drawing>
        <wp:inline xmlns:a="http://schemas.openxmlformats.org/drawingml/2006/main" xmlns:pic="http://schemas.openxmlformats.org/drawingml/2006/picture">
          <wp:extent cx="6126480" cy="12520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1252099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9648"/>
    </w:tblGrid>
    <w:tr>
      <w:tc>
        <w:tcPr>
          <w:tcW w:type="dxa" w:w="9648"/>
          <w:vAlign w:val="center"/>
          <w:tcBorders>
            <w:top w:sz="2" w:val="single" w:color="C9D3C0"/>
            <w:left w:sz="2" w:val="single" w:color="C9D3C0"/>
            <w:bottom w:sz="2" w:val="single" w:color="C9D3C0"/>
            <w:right w:sz="2" w:val="single" w:color="C9D3C0"/>
          </w:tcBorders>
        </w:tcPr>
        <w:p>
          <w:pPr>
            <w:spacing w:after="0" w:before="0"/>
            <w:jc w:val="center"/>
          </w:pPr>
          <w:r/>
          <w:r>
            <w:rPr>
              <w:rFonts w:ascii="Calibri" w:hAnsi="Calibri" w:eastAsia="Calibri"/>
              <w:b/>
              <w:sz w:val="17"/>
            </w:rPr>
            <w:t>LawBridge Practical Skills Course | Worksheet: AO-02 | Skill: Advocacy and Oral Presentation | Student Version | v4</w:t>
          </w:r>
        </w:p>
      </w:tc>
    </w:tr>
    <w:tr>
      <w:tc>
        <w:tcPr>
          <w:tcW w:type="dxa" w:w="9648"/>
          <w:vAlign w:val="center"/>
          <w:tcBorders>
            <w:top w:sz="2" w:val="single" w:color="C9D3C0"/>
            <w:left w:sz="2" w:val="single" w:color="C9D3C0"/>
            <w:bottom w:sz="2" w:val="single" w:color="C9D3C0"/>
            <w:right w:sz="2" w:val="single" w:color="C9D3C0"/>
          </w:tcBorders>
        </w:tcPr>
        <w:p>
          <w:pPr>
            <w:spacing w:after="0" w:before="0"/>
            <w:jc w:val="center"/>
          </w:pPr>
          <w:r/>
          <w:r>
            <w:rPr>
              <w:rFonts w:ascii="Calibri" w:hAnsi="Calibri" w:eastAsia="Calibri"/>
              <w:sz w:val="15"/>
            </w:rPr>
            <w:t>Scenario: Oral Application in a Business Interruption Insurance Dispute | Matter type: Cyber insurance coverage dispute | Difficulty: Intermediate to Advanced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F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F4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F42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F42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