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2F42"/>
          <w:sz w:val="28"/>
        </w:rPr>
        <w:t>LawBridge Practical Skills Course</w:t>
      </w:r>
    </w:p>
    <w:p>
      <w:pPr>
        <w:spacing w:after="80"/>
        <w:jc w:val="center"/>
      </w:pPr>
      <w:r>
        <w:rPr>
          <w:rFonts w:ascii="Calibri" w:hAnsi="Calibri"/>
          <w:b/>
          <w:color w:val="1F2F42"/>
          <w:sz w:val="28"/>
        </w:rPr>
        <w:t>Case Simulation 07 | LD-01</w:t>
      </w:r>
    </w:p>
    <w:p>
      <w:pPr>
        <w:spacing w:after="160"/>
        <w:jc w:val="center"/>
      </w:pPr>
      <w:r>
        <w:rPr>
          <w:rFonts w:ascii="Calibri" w:hAnsi="Calibri"/>
          <w:b/>
          <w:color w:val="1F2F42"/>
          <w:sz w:val="28"/>
        </w:rPr>
        <w:t>Redrafting a Weak Limitation of Liability Clause</w:t>
      </w:r>
    </w:p>
    <w:p>
      <w:pPr>
        <w:spacing w:after="80" w:before="0" w:line="252" w:lineRule="auto"/>
      </w:pPr>
      <w:r>
        <w:rPr>
          <w:rFonts w:ascii="Calibri" w:hAnsi="Calibri"/>
          <w:b/>
          <w:i w:val="0"/>
          <w:sz w:val="24"/>
        </w:rPr>
        <w:t>Detailed Exhibit Pack and Practice Tasks | Student Version | v4</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Skill focus</w:t>
            </w:r>
          </w:p>
        </w:tc>
        <w:tc>
          <w:tcPr>
            <w:tcW w:type="dxa" w:w="5184"/>
            <w:vAlign w:val="top"/>
          </w:tcPr>
          <w:p>
            <w:pPr>
              <w:spacing w:after="0" w:before="0"/>
            </w:pPr>
            <w:r>
              <w:rPr>
                <w:rFonts w:ascii="Calibri" w:hAnsi="Calibri"/>
                <w:sz w:val="21"/>
              </w:rPr>
            </w:r>
            <w:r>
              <w:rPr>
                <w:rFonts w:ascii="Calibri" w:hAnsi="Calibri"/>
                <w:b w:val="0"/>
                <w:sz w:val="21"/>
              </w:rPr>
              <w:t>Legal Drafting</w:t>
            </w:r>
          </w:p>
        </w:tc>
      </w:tr>
      <w:tr>
        <w:tc>
          <w:tcPr>
            <w:tcW w:type="dxa" w:w="5184"/>
            <w:shd w:fill="E9EEF3"/>
            <w:vAlign w:val="top"/>
          </w:tcPr>
          <w:p>
            <w:pPr>
              <w:spacing w:after="0" w:before="0"/>
            </w:pPr>
            <w:r>
              <w:rPr>
                <w:rFonts w:ascii="Calibri" w:hAnsi="Calibri"/>
                <w:sz w:val="21"/>
              </w:rPr>
            </w:r>
            <w:r>
              <w:rPr>
                <w:rFonts w:ascii="Calibri" w:hAnsi="Calibri"/>
                <w:b/>
                <w:color w:val="1F2F42"/>
                <w:sz w:val="21"/>
              </w:rPr>
              <w:t>Matter type</w:t>
            </w:r>
          </w:p>
        </w:tc>
        <w:tc>
          <w:tcPr>
            <w:tcW w:type="dxa" w:w="5184"/>
            <w:vAlign w:val="top"/>
          </w:tcPr>
          <w:p>
            <w:pPr>
              <w:spacing w:after="0" w:before="0"/>
            </w:pPr>
            <w:r>
              <w:rPr>
                <w:rFonts w:ascii="Calibri" w:hAnsi="Calibri"/>
                <w:sz w:val="21"/>
              </w:rPr>
            </w:r>
            <w:r>
              <w:rPr>
                <w:rFonts w:ascii="Calibri" w:hAnsi="Calibri"/>
                <w:b w:val="0"/>
                <w:sz w:val="21"/>
              </w:rPr>
              <w:t>Technology services contract drafting</w:t>
            </w:r>
          </w:p>
        </w:tc>
      </w:tr>
      <w:tr>
        <w:tc>
          <w:tcPr>
            <w:tcW w:type="dxa" w:w="5184"/>
            <w:shd w:fill="E9EEF3"/>
            <w:vAlign w:val="top"/>
          </w:tcPr>
          <w:p>
            <w:pPr>
              <w:spacing w:after="0" w:before="0"/>
            </w:pPr>
            <w:r>
              <w:rPr>
                <w:rFonts w:ascii="Calibri" w:hAnsi="Calibri"/>
                <w:sz w:val="21"/>
              </w:rPr>
            </w:r>
            <w:r>
              <w:rPr>
                <w:rFonts w:ascii="Calibri" w:hAnsi="Calibri"/>
                <w:b/>
                <w:color w:val="1F2F42"/>
                <w:sz w:val="21"/>
              </w:rPr>
              <w:t>Difficulty level</w:t>
            </w:r>
          </w:p>
        </w:tc>
        <w:tc>
          <w:tcPr>
            <w:tcW w:type="dxa" w:w="5184"/>
            <w:vAlign w:val="top"/>
          </w:tcPr>
          <w:p>
            <w:pPr>
              <w:spacing w:after="0" w:before="0"/>
            </w:pPr>
            <w:r>
              <w:rPr>
                <w:rFonts w:ascii="Calibri" w:hAnsi="Calibri"/>
                <w:sz w:val="21"/>
              </w:rPr>
            </w:r>
            <w:r>
              <w:rPr>
                <w:rFonts w:ascii="Calibri" w:hAnsi="Calibri"/>
                <w:b w:val="0"/>
                <w:sz w:val="21"/>
              </w:rPr>
              <w:t>Intermediate</w:t>
            </w:r>
          </w:p>
        </w:tc>
      </w:tr>
      <w:tr>
        <w:tc>
          <w:tcPr>
            <w:tcW w:type="dxa" w:w="5184"/>
            <w:shd w:fill="E9EEF3"/>
            <w:vAlign w:val="top"/>
          </w:tcPr>
          <w:p>
            <w:pPr>
              <w:spacing w:after="0" w:before="0"/>
            </w:pPr>
            <w:r>
              <w:rPr>
                <w:rFonts w:ascii="Calibri" w:hAnsi="Calibri"/>
                <w:sz w:val="21"/>
              </w:rPr>
            </w:r>
            <w:r>
              <w:rPr>
                <w:rFonts w:ascii="Calibri" w:hAnsi="Calibri"/>
                <w:b/>
                <w:color w:val="1F2F42"/>
                <w:sz w:val="21"/>
              </w:rPr>
              <w:t>Student role</w:t>
            </w:r>
          </w:p>
        </w:tc>
        <w:tc>
          <w:tcPr>
            <w:tcW w:type="dxa" w:w="5184"/>
            <w:vAlign w:val="top"/>
          </w:tcPr>
          <w:p>
            <w:pPr>
              <w:spacing w:after="0" w:before="0"/>
            </w:pPr>
            <w:r>
              <w:rPr>
                <w:rFonts w:ascii="Calibri" w:hAnsi="Calibri"/>
                <w:sz w:val="21"/>
              </w:rPr>
            </w:r>
            <w:r>
              <w:rPr>
                <w:rFonts w:ascii="Calibri" w:hAnsi="Calibri"/>
                <w:b w:val="0"/>
                <w:sz w:val="21"/>
              </w:rPr>
              <w:t>Junior lawyer reviewing and redrafting contract wording</w:t>
            </w:r>
          </w:p>
        </w:tc>
      </w:tr>
      <w:tr>
        <w:tc>
          <w:tcPr>
            <w:tcW w:type="dxa" w:w="5184"/>
            <w:shd w:fill="E9EEF3"/>
            <w:vAlign w:val="top"/>
          </w:tcPr>
          <w:p>
            <w:pPr>
              <w:spacing w:after="0" w:before="0"/>
            </w:pPr>
            <w:r>
              <w:rPr>
                <w:rFonts w:ascii="Calibri" w:hAnsi="Calibri"/>
                <w:sz w:val="21"/>
              </w:rPr>
            </w:r>
            <w:r>
              <w:rPr>
                <w:rFonts w:ascii="Calibri" w:hAnsi="Calibri"/>
                <w:b/>
                <w:color w:val="1F2F42"/>
                <w:sz w:val="21"/>
              </w:rPr>
              <w:t>Recommended time</w:t>
            </w:r>
          </w:p>
        </w:tc>
        <w:tc>
          <w:tcPr>
            <w:tcW w:type="dxa" w:w="5184"/>
            <w:vAlign w:val="top"/>
          </w:tcPr>
          <w:p>
            <w:pPr>
              <w:spacing w:after="0" w:before="0"/>
            </w:pPr>
            <w:r>
              <w:rPr>
                <w:rFonts w:ascii="Calibri" w:hAnsi="Calibri"/>
                <w:sz w:val="21"/>
              </w:rPr>
            </w:r>
            <w:r>
              <w:rPr>
                <w:rFonts w:ascii="Calibri" w:hAnsi="Calibri"/>
                <w:b w:val="0"/>
                <w:sz w:val="21"/>
              </w:rPr>
              <w:t>90-110 minutes</w:t>
            </w:r>
          </w:p>
        </w:tc>
      </w:tr>
      <w:tr>
        <w:tc>
          <w:tcPr>
            <w:tcW w:type="dxa" w:w="5184"/>
            <w:shd w:fill="E9EEF3"/>
            <w:vAlign w:val="top"/>
          </w:tcPr>
          <w:p>
            <w:pPr>
              <w:spacing w:after="0" w:before="0"/>
            </w:pPr>
            <w:r>
              <w:rPr>
                <w:rFonts w:ascii="Calibri" w:hAnsi="Calibri"/>
                <w:sz w:val="21"/>
              </w:rPr>
            </w:r>
            <w:r>
              <w:rPr>
                <w:rFonts w:ascii="Calibri" w:hAnsi="Calibri"/>
                <w:b/>
                <w:color w:val="1F2F42"/>
                <w:sz w:val="21"/>
              </w:rPr>
              <w:t>Applicable Legal Framework note</w:t>
            </w:r>
          </w:p>
        </w:tc>
        <w:tc>
          <w:tcPr>
            <w:tcW w:type="dxa" w:w="5184"/>
            <w:vAlign w:val="top"/>
          </w:tcPr>
          <w:p>
            <w:pPr>
              <w:spacing w:after="0" w:before="0"/>
            </w:pPr>
            <w:r>
              <w:rPr>
                <w:rFonts w:ascii="Calibri" w:hAnsi="Calibri"/>
                <w:sz w:val="21"/>
              </w:rPr>
            </w:r>
            <w:r>
              <w:rPr>
                <w:rFonts w:ascii="Calibri" w:hAnsi="Calibri"/>
                <w:b w:val="0"/>
                <w:sz w:val="21"/>
              </w:rPr>
              <w:t>This simulation is applicable legal framework-neutral. Students should identify points that require applicable legal verification rather than assuming a specific legal system.</w:t>
            </w:r>
          </w:p>
        </w:tc>
      </w:tr>
      <w:tr>
        <w:tc>
          <w:tcPr>
            <w:tcW w:type="dxa" w:w="5184"/>
            <w:shd w:fill="E9EEF3"/>
            <w:vAlign w:val="top"/>
          </w:tcPr>
          <w:p>
            <w:pPr>
              <w:spacing w:after="0" w:before="0"/>
            </w:pPr>
            <w:r>
              <w:rPr>
                <w:rFonts w:ascii="Calibri" w:hAnsi="Calibri"/>
                <w:sz w:val="21"/>
              </w:rPr>
            </w:r>
            <w:r>
              <w:rPr>
                <w:rFonts w:ascii="Calibri" w:hAnsi="Calibri"/>
                <w:b/>
                <w:color w:val="1F2F42"/>
                <w:sz w:val="21"/>
              </w:rPr>
              <w:t>Version</w:t>
            </w:r>
          </w:p>
        </w:tc>
        <w:tc>
          <w:tcPr>
            <w:tcW w:type="dxa" w:w="5184"/>
            <w:vAlign w:val="top"/>
          </w:tcPr>
          <w:p>
            <w:r>
              <w:t>v4 - letterhead and skill-labelled running header added</w:t>
            </w:r>
          </w:p>
        </w:tc>
      </w:tr>
    </w:tbl>
    <w:p>
      <w:pPr>
        <w:pStyle w:val="Heading1"/>
        <w:spacing w:before="120" w:after="80"/>
      </w:pPr>
      <w:r>
        <w:rPr>
          <w:rFonts w:ascii="Calibri" w:hAnsi="Calibri"/>
          <w:b/>
          <w:color w:val="1F2F42"/>
          <w:sz w:val="28"/>
        </w:rPr>
        <w:t>How to Use This Simulation</w:t>
      </w:r>
    </w:p>
    <w:p>
      <w:pPr>
        <w:pStyle w:val="ListBullet"/>
        <w:spacing w:after="40"/>
        <w:ind w:left="288"/>
      </w:pPr>
      <w:r>
        <w:rPr>
          <w:rFonts w:ascii="Calibri" w:hAnsi="Calibri"/>
          <w:sz w:val="24"/>
        </w:rPr>
        <w:t>Read the exhibits as if this is a live matter file.</w:t>
      </w:r>
    </w:p>
    <w:p>
      <w:pPr>
        <w:pStyle w:val="ListBullet"/>
        <w:spacing w:after="40"/>
        <w:ind w:left="288"/>
      </w:pPr>
      <w:r>
        <w:rPr>
          <w:rFonts w:ascii="Calibri" w:hAnsi="Calibri"/>
          <w:sz w:val="24"/>
        </w:rPr>
        <w:t>Do not rely on the exhibit index as a summary of the issues.</w:t>
      </w:r>
    </w:p>
    <w:p>
      <w:pPr>
        <w:pStyle w:val="ListBullet"/>
        <w:spacing w:after="40"/>
        <w:ind w:left="288"/>
      </w:pPr>
      <w:r>
        <w:rPr>
          <w:rFonts w:ascii="Calibri" w:hAnsi="Calibri"/>
          <w:sz w:val="24"/>
        </w:rPr>
        <w:t>Extract the relevant clauses, dates, facts, figures, obligations, deadlines and missing information yourself.</w:t>
      </w:r>
    </w:p>
    <w:p>
      <w:pPr>
        <w:pStyle w:val="ListBullet"/>
        <w:spacing w:after="40"/>
        <w:ind w:left="288"/>
      </w:pPr>
      <w:r>
        <w:rPr>
          <w:rFonts w:ascii="Calibri" w:hAnsi="Calibri"/>
          <w:sz w:val="24"/>
        </w:rPr>
        <w:t>Record where each point appears, using exhibit labels and clause numbers where available.</w:t>
      </w:r>
    </w:p>
    <w:p>
      <w:pPr>
        <w:pStyle w:val="ListBullet"/>
        <w:spacing w:after="40"/>
        <w:ind w:left="288"/>
      </w:pPr>
      <w:r>
        <w:rPr>
          <w:rFonts w:ascii="Calibri" w:hAnsi="Calibri"/>
          <w:sz w:val="24"/>
        </w:rPr>
        <w:t>Separate what is known from what is assumed, disputed or missing.</w:t>
      </w:r>
    </w:p>
    <w:p>
      <w:pPr>
        <w:pStyle w:val="ListBullet"/>
        <w:spacing w:after="40"/>
        <w:ind w:left="288"/>
      </w:pPr>
      <w:r>
        <w:rPr>
          <w:rFonts w:ascii="Calibri" w:hAnsi="Calibri"/>
          <w:sz w:val="24"/>
        </w:rPr>
        <w:t>Prepare a practical output for a supervisor or client using only the evidence in the file.</w:t>
      </w:r>
    </w:p>
    <w:p>
      <w:pPr>
        <w:pStyle w:val="Heading1"/>
        <w:spacing w:before="120" w:after="80"/>
      </w:pPr>
      <w:r>
        <w:rPr>
          <w:rFonts w:ascii="Calibri" w:hAnsi="Calibri"/>
          <w:b/>
          <w:color w:val="1F2F42"/>
          <w:sz w:val="28"/>
        </w:rPr>
        <w:t>Learning Outcomes</w:t>
      </w:r>
    </w:p>
    <w:p>
      <w:pPr>
        <w:pStyle w:val="ListBullet"/>
        <w:spacing w:after="40"/>
        <w:ind w:left="288"/>
      </w:pPr>
      <w:r>
        <w:rPr>
          <w:rFonts w:ascii="Calibri" w:hAnsi="Calibri"/>
          <w:sz w:val="24"/>
        </w:rPr>
        <w:t>Identify drafting risks in liability and remedy clauses.</w:t>
      </w:r>
    </w:p>
    <w:p>
      <w:pPr>
        <w:pStyle w:val="ListBullet"/>
        <w:spacing w:after="40"/>
        <w:ind w:left="288"/>
      </w:pPr>
      <w:r>
        <w:rPr>
          <w:rFonts w:ascii="Calibri" w:hAnsi="Calibri"/>
          <w:sz w:val="24"/>
        </w:rPr>
        <w:t>Produce clearer, balanced wording aligned with client objectives.</w:t>
      </w:r>
    </w:p>
    <w:p>
      <w:pPr>
        <w:pStyle w:val="ListBullet"/>
        <w:spacing w:after="40"/>
        <w:ind w:left="288"/>
      </w:pPr>
      <w:r>
        <w:rPr>
          <w:rFonts w:ascii="Calibri" w:hAnsi="Calibri"/>
          <w:sz w:val="24"/>
        </w:rPr>
        <w:t>Explain drafting rationale in practical language.</w:t>
      </w:r>
    </w:p>
    <w:p>
      <w:pPr>
        <w:pStyle w:val="ListBullet"/>
        <w:spacing w:after="40"/>
        <w:ind w:left="288"/>
      </w:pPr>
      <w:r>
        <w:rPr>
          <w:rFonts w:ascii="Calibri" w:hAnsi="Calibri"/>
          <w:sz w:val="24"/>
        </w:rPr>
        <w:t>Recognise ambiguous exclusions and remedy conflicts.</w:t>
      </w:r>
    </w:p>
    <w:p>
      <w:pPr>
        <w:pStyle w:val="ListBullet"/>
        <w:spacing w:after="40"/>
        <w:ind w:left="288"/>
      </w:pPr>
      <w:r>
        <w:rPr>
          <w:rFonts w:ascii="Calibri" w:hAnsi="Calibri"/>
          <w:sz w:val="24"/>
        </w:rPr>
        <w:t>Prepare a drafting note for supervisor review.</w:t>
      </w:r>
    </w:p>
    <w:p>
      <w:pPr>
        <w:pStyle w:val="Heading1"/>
        <w:spacing w:before="120" w:after="80"/>
      </w:pPr>
      <w:r>
        <w:rPr>
          <w:rFonts w:ascii="Calibri" w:hAnsi="Calibri"/>
          <w:b/>
          <w:color w:val="1F2F42"/>
          <w:sz w:val="28"/>
        </w:rPr>
        <w:t>Student Task Brief</w:t>
      </w:r>
    </w:p>
    <w:p>
      <w:pPr>
        <w:spacing w:after="80" w:before="0" w:line="252" w:lineRule="auto"/>
      </w:pPr>
      <w:r>
        <w:rPr>
          <w:rFonts w:ascii="Calibri" w:hAnsi="Calibri"/>
          <w:b w:val="0"/>
          <w:i w:val="0"/>
          <w:sz w:val="24"/>
        </w:rPr>
        <w:t>A customer is negotiating a business-critical software services agreement. The draft limits the supplier’s liability heavily and makes service credits the only remedy. You must mark the issues, redraft key wording and explain the changes.</w:t>
      </w:r>
    </w:p>
    <w:p>
      <w:pPr>
        <w:pStyle w:val="Heading1"/>
        <w:spacing w:before="120" w:after="80"/>
      </w:pPr>
      <w:r>
        <w:rPr>
          <w:rFonts w:ascii="Calibri" w:hAnsi="Calibri"/>
          <w:b/>
          <w:color w:val="1F2F42"/>
          <w:sz w:val="28"/>
        </w:rPr>
        <w:t>Student Practice Tasks</w:t>
      </w:r>
    </w:p>
    <w:p>
      <w:pPr>
        <w:spacing w:after="80" w:before="0" w:line="252" w:lineRule="auto"/>
      </w:pPr>
      <w:r>
        <w:rPr>
          <w:rFonts w:ascii="Calibri" w:hAnsi="Calibri"/>
          <w:b w:val="0"/>
          <w:i w:val="0"/>
          <w:sz w:val="24"/>
        </w:rPr>
        <w:t>Complete the following practice tasks as a trainee-style matter file review. Your answers must cite the relevant exhibit, clause, date, email, log entry or policy wording. Do not give broad commentary where a specific document reference is available.</w:t>
      </w:r>
    </w:p>
    <w:p>
      <w:pPr>
        <w:pStyle w:val="Heading1"/>
        <w:spacing w:before="120" w:after="80"/>
      </w:pPr>
      <w:r>
        <w:rPr>
          <w:rFonts w:ascii="Calibri" w:hAnsi="Calibri"/>
          <w:b/>
          <w:color w:val="1F2F42"/>
          <w:sz w:val="28"/>
        </w:rPr>
        <w:t>Required Submission Bundle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Output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it must include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standard</w:t>
            </w:r>
          </w:p>
        </w:tc>
      </w:tr>
      <w:tr>
        <w:tc>
          <w:tcPr>
            <w:tcW w:type="dxa" w:w="3456"/>
            <w:vAlign w:val="top"/>
          </w:tcPr>
          <w:p>
            <w:pPr>
              <w:spacing w:after="0" w:before="0"/>
            </w:pPr>
            <w:r>
              <w:rPr>
                <w:rFonts w:ascii="Calibri" w:hAnsi="Calibri"/>
                <w:sz w:val="18"/>
              </w:rPr>
            </w:r>
            <w:r>
              <w:rPr>
                <w:rFonts w:ascii="Calibri" w:hAnsi="Calibri"/>
                <w:b w:val="0"/>
                <w:sz w:val="18"/>
              </w:rPr>
              <w:t>Drafting issues list</w:t>
            </w:r>
          </w:p>
        </w:tc>
        <w:tc>
          <w:tcPr>
            <w:tcW w:type="dxa" w:w="3456"/>
            <w:vAlign w:val="top"/>
          </w:tcPr>
          <w:p>
            <w:pPr>
              <w:spacing w:after="0" w:before="0"/>
            </w:pPr>
            <w:r>
              <w:rPr>
                <w:rFonts w:ascii="Calibri" w:hAnsi="Calibri"/>
                <w:sz w:val="18"/>
              </w:rPr>
            </w:r>
            <w:r>
              <w:rPr>
                <w:rFonts w:ascii="Calibri" w:hAnsi="Calibri"/>
                <w:b w:val="0"/>
                <w:sz w:val="18"/>
              </w:rPr>
              <w:t>Problematic wording, commercial effect and proposed response.</w:t>
            </w:r>
          </w:p>
        </w:tc>
        <w:tc>
          <w:tcPr>
            <w:tcW w:type="dxa" w:w="3456"/>
            <w:vAlign w:val="top"/>
          </w:tcPr>
          <w:p>
            <w:pPr>
              <w:spacing w:after="0" w:before="0"/>
            </w:pPr>
            <w:r>
              <w:rPr>
                <w:rFonts w:ascii="Calibri" w:hAnsi="Calibri"/>
                <w:sz w:val="18"/>
              </w:rPr>
            </w:r>
            <w:r>
              <w:rPr>
                <w:rFonts w:ascii="Calibri" w:hAnsi="Calibri"/>
                <w:b w:val="0"/>
                <w:sz w:val="18"/>
              </w:rPr>
              <w:t>Must cite clause wording.</w:t>
            </w:r>
          </w:p>
        </w:tc>
      </w:tr>
      <w:tr>
        <w:tc>
          <w:tcPr>
            <w:tcW w:type="dxa" w:w="3456"/>
            <w:vAlign w:val="top"/>
          </w:tcPr>
          <w:p>
            <w:pPr>
              <w:spacing w:after="0" w:before="0"/>
            </w:pPr>
            <w:r>
              <w:rPr>
                <w:rFonts w:ascii="Calibri" w:hAnsi="Calibri"/>
                <w:sz w:val="18"/>
              </w:rPr>
            </w:r>
            <w:r>
              <w:rPr>
                <w:rFonts w:ascii="Calibri" w:hAnsi="Calibri"/>
                <w:b w:val="0"/>
                <w:sz w:val="18"/>
              </w:rPr>
              <w:t>Revised clause set</w:t>
            </w:r>
          </w:p>
        </w:tc>
        <w:tc>
          <w:tcPr>
            <w:tcW w:type="dxa" w:w="3456"/>
            <w:vAlign w:val="top"/>
          </w:tcPr>
          <w:p>
            <w:pPr>
              <w:spacing w:after="0" w:before="0"/>
            </w:pPr>
            <w:r>
              <w:rPr>
                <w:rFonts w:ascii="Calibri" w:hAnsi="Calibri"/>
                <w:sz w:val="18"/>
              </w:rPr>
            </w:r>
            <w:r>
              <w:rPr>
                <w:rFonts w:ascii="Calibri" w:hAnsi="Calibri"/>
                <w:b w:val="0"/>
                <w:sz w:val="18"/>
              </w:rPr>
              <w:t>Limitation of liability, service credits, data loss and termination wording.</w:t>
            </w:r>
          </w:p>
        </w:tc>
        <w:tc>
          <w:tcPr>
            <w:tcW w:type="dxa" w:w="3456"/>
            <w:vAlign w:val="top"/>
          </w:tcPr>
          <w:p>
            <w:pPr>
              <w:spacing w:after="0" w:before="0"/>
            </w:pPr>
            <w:r>
              <w:rPr>
                <w:rFonts w:ascii="Calibri" w:hAnsi="Calibri"/>
                <w:sz w:val="18"/>
              </w:rPr>
            </w:r>
            <w:r>
              <w:rPr>
                <w:rFonts w:ascii="Calibri" w:hAnsi="Calibri"/>
                <w:b w:val="0"/>
                <w:sz w:val="18"/>
              </w:rPr>
              <w:t>Must be clear and internally consistent.</w:t>
            </w:r>
          </w:p>
        </w:tc>
      </w:tr>
      <w:tr>
        <w:tc>
          <w:tcPr>
            <w:tcW w:type="dxa" w:w="3456"/>
            <w:vAlign w:val="top"/>
          </w:tcPr>
          <w:p>
            <w:pPr>
              <w:spacing w:after="0" w:before="0"/>
            </w:pPr>
            <w:r>
              <w:rPr>
                <w:rFonts w:ascii="Calibri" w:hAnsi="Calibri"/>
                <w:sz w:val="18"/>
              </w:rPr>
            </w:r>
            <w:r>
              <w:rPr>
                <w:rFonts w:ascii="Calibri" w:hAnsi="Calibri"/>
                <w:b w:val="0"/>
                <w:sz w:val="18"/>
              </w:rPr>
              <w:t>Drafting rationale note</w:t>
            </w:r>
          </w:p>
        </w:tc>
        <w:tc>
          <w:tcPr>
            <w:tcW w:type="dxa" w:w="3456"/>
            <w:vAlign w:val="top"/>
          </w:tcPr>
          <w:p>
            <w:pPr>
              <w:spacing w:after="0" w:before="0"/>
            </w:pPr>
            <w:r>
              <w:rPr>
                <w:rFonts w:ascii="Calibri" w:hAnsi="Calibri"/>
                <w:sz w:val="18"/>
              </w:rPr>
            </w:r>
            <w:r>
              <w:rPr>
                <w:rFonts w:ascii="Calibri" w:hAnsi="Calibri"/>
                <w:b w:val="0"/>
                <w:sz w:val="18"/>
              </w:rPr>
              <w:t>Why each amendment protects the client and what negotiation risk remains.</w:t>
            </w:r>
          </w:p>
        </w:tc>
        <w:tc>
          <w:tcPr>
            <w:tcW w:type="dxa" w:w="3456"/>
            <w:vAlign w:val="top"/>
          </w:tcPr>
          <w:p>
            <w:pPr>
              <w:spacing w:after="0" w:before="0"/>
            </w:pPr>
            <w:r>
              <w:rPr>
                <w:rFonts w:ascii="Calibri" w:hAnsi="Calibri"/>
                <w:sz w:val="18"/>
              </w:rPr>
            </w:r>
            <w:r>
              <w:rPr>
                <w:rFonts w:ascii="Calibri" w:hAnsi="Calibri"/>
                <w:b w:val="0"/>
                <w:sz w:val="18"/>
              </w:rPr>
              <w:t>Use plain English and commercial reasoning.</w:t>
            </w:r>
          </w:p>
        </w:tc>
      </w:tr>
    </w:tbl>
    <w:p>
      <w:pPr>
        <w:pStyle w:val="Heading1"/>
        <w:spacing w:before="120" w:after="80"/>
      </w:pPr>
      <w:r>
        <w:rPr>
          <w:rFonts w:ascii="Calibri" w:hAnsi="Calibri"/>
          <w:b/>
          <w:color w:val="1F2F42"/>
          <w:sz w:val="28"/>
        </w:rPr>
        <w:t>Detailed Practice Tasks</w:t>
      </w:r>
    </w:p>
    <w:p>
      <w:pPr>
        <w:pStyle w:val="ListNumber"/>
        <w:spacing w:after="40"/>
      </w:pPr>
      <w:r>
        <w:rPr>
          <w:rFonts w:ascii="Calibri" w:hAnsi="Calibri"/>
          <w:sz w:val="24"/>
        </w:rPr>
        <w:t>Extract the existing limitation and remedy wording.</w:t>
      </w:r>
    </w:p>
    <w:p>
      <w:pPr>
        <w:pStyle w:val="ListNumber"/>
        <w:spacing w:after="40"/>
      </w:pPr>
      <w:r>
        <w:rPr>
          <w:rFonts w:ascii="Calibri" w:hAnsi="Calibri"/>
          <w:sz w:val="24"/>
        </w:rPr>
        <w:t>Identify ambiguity, overbreadth and conflicts between clauses.</w:t>
      </w:r>
    </w:p>
    <w:p>
      <w:pPr>
        <w:pStyle w:val="ListNumber"/>
        <w:spacing w:after="40"/>
      </w:pPr>
      <w:r>
        <w:rPr>
          <w:rFonts w:ascii="Calibri" w:hAnsi="Calibri"/>
          <w:sz w:val="24"/>
        </w:rPr>
        <w:t>Identify which losses matter most to the client.</w:t>
      </w:r>
    </w:p>
    <w:p>
      <w:pPr>
        <w:pStyle w:val="ListNumber"/>
        <w:spacing w:after="40"/>
      </w:pPr>
      <w:r>
        <w:rPr>
          <w:rFonts w:ascii="Calibri" w:hAnsi="Calibri"/>
          <w:sz w:val="24"/>
        </w:rPr>
        <w:t>Redraft the service credit clause.</w:t>
      </w:r>
    </w:p>
    <w:p>
      <w:pPr>
        <w:pStyle w:val="ListNumber"/>
        <w:spacing w:after="40"/>
      </w:pPr>
      <w:r>
        <w:rPr>
          <w:rFonts w:ascii="Calibri" w:hAnsi="Calibri"/>
          <w:sz w:val="24"/>
        </w:rPr>
        <w:t>Redraft the liability cap and exclusions.</w:t>
      </w:r>
    </w:p>
    <w:p>
      <w:pPr>
        <w:pStyle w:val="ListNumber"/>
        <w:spacing w:after="40"/>
      </w:pPr>
      <w:r>
        <w:rPr>
          <w:rFonts w:ascii="Calibri" w:hAnsi="Calibri"/>
          <w:sz w:val="24"/>
        </w:rPr>
        <w:t>Draft carve-outs for serious risk areas where appropriate.</w:t>
      </w:r>
    </w:p>
    <w:p>
      <w:pPr>
        <w:pStyle w:val="ListNumber"/>
        <w:spacing w:after="40"/>
      </w:pPr>
      <w:r>
        <w:rPr>
          <w:rFonts w:ascii="Calibri" w:hAnsi="Calibri"/>
          <w:sz w:val="24"/>
        </w:rPr>
        <w:t>Draft a termination trigger linked to repeated service failure.</w:t>
      </w:r>
    </w:p>
    <w:p>
      <w:pPr>
        <w:pStyle w:val="ListNumber"/>
        <w:spacing w:after="40"/>
      </w:pPr>
      <w:r>
        <w:rPr>
          <w:rFonts w:ascii="Calibri" w:hAnsi="Calibri"/>
          <w:sz w:val="24"/>
        </w:rPr>
        <w:t>Prepare fallback negotiation wording.</w:t>
      </w:r>
    </w:p>
    <w:p>
      <w:pPr>
        <w:pStyle w:val="ListNumber"/>
        <w:spacing w:after="40"/>
      </w:pPr>
      <w:r>
        <w:rPr>
          <w:rFonts w:ascii="Calibri" w:hAnsi="Calibri"/>
          <w:sz w:val="24"/>
        </w:rPr>
        <w:t>Write a drafting rationale note.</w:t>
      </w:r>
    </w:p>
    <w:p>
      <w:pPr>
        <w:pStyle w:val="ListNumber"/>
        <w:spacing w:after="40"/>
      </w:pPr>
      <w:r>
        <w:rPr>
          <w:rFonts w:ascii="Calibri" w:hAnsi="Calibri"/>
          <w:sz w:val="24"/>
        </w:rPr>
        <w:t>Reflect on which drafting choice is most commercially important.</w:t>
      </w:r>
    </w:p>
    <w:p>
      <w:pPr>
        <w:pStyle w:val="Heading1"/>
        <w:spacing w:before="120" w:after="80"/>
      </w:pPr>
      <w:r>
        <w:rPr>
          <w:rFonts w:ascii="Calibri" w:hAnsi="Calibri"/>
          <w:b/>
          <w:color w:val="1F2F42"/>
          <w:sz w:val="28"/>
        </w:rPr>
        <w:t>Working Method</w:t>
      </w:r>
    </w:p>
    <w:p>
      <w:pPr>
        <w:pStyle w:val="ListBullet"/>
        <w:spacing w:after="40"/>
        <w:ind w:left="288"/>
      </w:pPr>
      <w:r>
        <w:rPr>
          <w:rFonts w:ascii="Calibri" w:hAnsi="Calibri"/>
          <w:sz w:val="24"/>
        </w:rPr>
        <w:t>Start with the exhibit index, but do not treat it as a summary of the answer.</w:t>
      </w:r>
    </w:p>
    <w:p>
      <w:pPr>
        <w:pStyle w:val="ListBullet"/>
        <w:spacing w:after="40"/>
        <w:ind w:left="288"/>
      </w:pPr>
      <w:r>
        <w:rPr>
          <w:rFonts w:ascii="Calibri" w:hAnsi="Calibri"/>
          <w:sz w:val="24"/>
        </w:rPr>
        <w:t>Mark every clause, date, figure and disputed factual point that affects advice or drafting.</w:t>
      </w:r>
    </w:p>
    <w:p>
      <w:pPr>
        <w:pStyle w:val="ListBullet"/>
        <w:spacing w:after="40"/>
        <w:ind w:left="288"/>
      </w:pPr>
      <w:r>
        <w:rPr>
          <w:rFonts w:ascii="Calibri" w:hAnsi="Calibri"/>
          <w:sz w:val="24"/>
        </w:rPr>
        <w:t>Separate confirmed facts, disputed facts, assumptions, missing information and legal points requiring further checking.</w:t>
      </w:r>
    </w:p>
    <w:p>
      <w:pPr>
        <w:pStyle w:val="ListBullet"/>
        <w:spacing w:after="40"/>
        <w:ind w:left="288"/>
      </w:pPr>
      <w:r>
        <w:rPr>
          <w:rFonts w:ascii="Calibri" w:hAnsi="Calibri"/>
          <w:sz w:val="24"/>
        </w:rPr>
        <w:t>Keep supervisor-facing outputs concise: lead with the practical risk, then the evidence, then the next step.</w:t>
      </w:r>
    </w:p>
    <w:p>
      <w:pPr>
        <w:pStyle w:val="Heading1"/>
        <w:spacing w:before="120" w:after="80"/>
      </w:pPr>
      <w:r>
        <w:rPr>
          <w:rFonts w:ascii="Calibri" w:hAnsi="Calibri"/>
          <w:b/>
          <w:color w:val="1F2F42"/>
          <w:sz w:val="28"/>
        </w:rPr>
        <w:t>Exhibit Index</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Document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students must decide for themselves</w:t>
            </w:r>
          </w:p>
        </w:tc>
      </w:tr>
      <w:tr>
        <w:tc>
          <w:tcPr>
            <w:tcW w:type="dxa" w:w="3456"/>
            <w:vAlign w:val="top"/>
          </w:tcPr>
          <w:p>
            <w:pPr>
              <w:spacing w:after="0" w:before="0"/>
            </w:pPr>
            <w:r>
              <w:rPr>
                <w:rFonts w:ascii="Calibri" w:hAnsi="Calibri"/>
                <w:sz w:val="18"/>
              </w:rPr>
            </w:r>
            <w:r>
              <w:rPr>
                <w:rFonts w:ascii="Calibri" w:hAnsi="Calibri"/>
                <w:b w:val="0"/>
                <w:sz w:val="18"/>
              </w:rPr>
              <w:t>1</w:t>
            </w:r>
          </w:p>
        </w:tc>
        <w:tc>
          <w:tcPr>
            <w:tcW w:type="dxa" w:w="3456"/>
            <w:vAlign w:val="top"/>
          </w:tcPr>
          <w:p>
            <w:pPr>
              <w:spacing w:after="0" w:before="0"/>
            </w:pPr>
            <w:r>
              <w:rPr>
                <w:rFonts w:ascii="Calibri" w:hAnsi="Calibri"/>
                <w:sz w:val="18"/>
              </w:rPr>
            </w:r>
            <w:r>
              <w:rPr>
                <w:rFonts w:ascii="Calibri" w:hAnsi="Calibri"/>
                <w:b w:val="0"/>
                <w:sz w:val="18"/>
              </w:rPr>
              <w:t>Supervisor Instruction Email</w:t>
            </w:r>
          </w:p>
        </w:tc>
        <w:tc>
          <w:tcPr>
            <w:tcW w:type="dxa" w:w="3456"/>
            <w:vAlign w:val="top"/>
          </w:tcPr>
          <w:p>
            <w:pPr>
              <w:spacing w:after="0" w:before="0"/>
            </w:pPr>
            <w:r>
              <w:rPr>
                <w:rFonts w:ascii="Calibri" w:hAnsi="Calibri"/>
                <w:sz w:val="18"/>
              </w:rPr>
            </w:r>
            <w:r>
              <w:rPr>
                <w:rFonts w:ascii="Calibri" w:hAnsi="Calibri"/>
                <w:b w:val="0"/>
                <w:sz w:val="18"/>
              </w:rPr>
              <w:t>What drafting risk appears, and how should the wording respond?</w:t>
            </w:r>
          </w:p>
        </w:tc>
      </w:tr>
      <w:tr>
        <w:tc>
          <w:tcPr>
            <w:tcW w:type="dxa" w:w="3456"/>
            <w:vAlign w:val="top"/>
          </w:tcPr>
          <w:p>
            <w:pPr>
              <w:spacing w:after="0" w:before="0"/>
            </w:pPr>
            <w:r>
              <w:rPr>
                <w:rFonts w:ascii="Calibri" w:hAnsi="Calibri"/>
                <w:sz w:val="18"/>
              </w:rPr>
            </w:r>
            <w:r>
              <w:rPr>
                <w:rFonts w:ascii="Calibri" w:hAnsi="Calibri"/>
                <w:b w:val="0"/>
                <w:sz w:val="18"/>
              </w:rPr>
              <w:t>2</w:t>
            </w:r>
          </w:p>
        </w:tc>
        <w:tc>
          <w:tcPr>
            <w:tcW w:type="dxa" w:w="3456"/>
            <w:vAlign w:val="top"/>
          </w:tcPr>
          <w:p>
            <w:pPr>
              <w:spacing w:after="0" w:before="0"/>
            </w:pPr>
            <w:r>
              <w:rPr>
                <w:rFonts w:ascii="Calibri" w:hAnsi="Calibri"/>
                <w:sz w:val="18"/>
              </w:rPr>
            </w:r>
            <w:r>
              <w:rPr>
                <w:rFonts w:ascii="Calibri" w:hAnsi="Calibri"/>
                <w:b w:val="0"/>
                <w:sz w:val="18"/>
              </w:rPr>
              <w:t>Supplier Draft Clause 12</w:t>
            </w:r>
          </w:p>
        </w:tc>
        <w:tc>
          <w:tcPr>
            <w:tcW w:type="dxa" w:w="3456"/>
            <w:vAlign w:val="top"/>
          </w:tcPr>
          <w:p>
            <w:pPr>
              <w:spacing w:after="0" w:before="0"/>
            </w:pPr>
            <w:r>
              <w:rPr>
                <w:rFonts w:ascii="Calibri" w:hAnsi="Calibri"/>
                <w:sz w:val="18"/>
              </w:rPr>
            </w:r>
            <w:r>
              <w:rPr>
                <w:rFonts w:ascii="Calibri" w:hAnsi="Calibri"/>
                <w:b w:val="0"/>
                <w:sz w:val="18"/>
              </w:rPr>
              <w:t>What drafting risk appears, and how should the wording respond?</w:t>
            </w:r>
          </w:p>
        </w:tc>
      </w:tr>
      <w:tr>
        <w:tc>
          <w:tcPr>
            <w:tcW w:type="dxa" w:w="3456"/>
            <w:vAlign w:val="top"/>
          </w:tcPr>
          <w:p>
            <w:pPr>
              <w:spacing w:after="0" w:before="0"/>
            </w:pPr>
            <w:r>
              <w:rPr>
                <w:rFonts w:ascii="Calibri" w:hAnsi="Calibri"/>
                <w:sz w:val="18"/>
              </w:rPr>
            </w:r>
            <w:r>
              <w:rPr>
                <w:rFonts w:ascii="Calibri" w:hAnsi="Calibri"/>
                <w:b w:val="0"/>
                <w:sz w:val="18"/>
              </w:rPr>
              <w:t>3</w:t>
            </w:r>
          </w:p>
        </w:tc>
        <w:tc>
          <w:tcPr>
            <w:tcW w:type="dxa" w:w="3456"/>
            <w:vAlign w:val="top"/>
          </w:tcPr>
          <w:p>
            <w:pPr>
              <w:spacing w:after="0" w:before="0"/>
            </w:pPr>
            <w:r>
              <w:rPr>
                <w:rFonts w:ascii="Calibri" w:hAnsi="Calibri"/>
                <w:sz w:val="18"/>
              </w:rPr>
            </w:r>
            <w:r>
              <w:rPr>
                <w:rFonts w:ascii="Calibri" w:hAnsi="Calibri"/>
                <w:b w:val="0"/>
                <w:sz w:val="18"/>
              </w:rPr>
              <w:t>Service Credit Schedule</w:t>
            </w:r>
          </w:p>
        </w:tc>
        <w:tc>
          <w:tcPr>
            <w:tcW w:type="dxa" w:w="3456"/>
            <w:vAlign w:val="top"/>
          </w:tcPr>
          <w:p>
            <w:pPr>
              <w:spacing w:after="0" w:before="0"/>
            </w:pPr>
            <w:r>
              <w:rPr>
                <w:rFonts w:ascii="Calibri" w:hAnsi="Calibri"/>
                <w:sz w:val="18"/>
              </w:rPr>
            </w:r>
            <w:r>
              <w:rPr>
                <w:rFonts w:ascii="Calibri" w:hAnsi="Calibri"/>
                <w:b w:val="0"/>
                <w:sz w:val="18"/>
              </w:rPr>
              <w:t>What drafting risk appears, and how should the wording respond?</w:t>
            </w:r>
          </w:p>
        </w:tc>
      </w:tr>
      <w:tr>
        <w:tc>
          <w:tcPr>
            <w:tcW w:type="dxa" w:w="3456"/>
            <w:vAlign w:val="top"/>
          </w:tcPr>
          <w:p>
            <w:pPr>
              <w:spacing w:after="0" w:before="0"/>
            </w:pPr>
            <w:r>
              <w:rPr>
                <w:rFonts w:ascii="Calibri" w:hAnsi="Calibri"/>
                <w:sz w:val="18"/>
              </w:rPr>
            </w:r>
            <w:r>
              <w:rPr>
                <w:rFonts w:ascii="Calibri" w:hAnsi="Calibri"/>
                <w:b w:val="0"/>
                <w:sz w:val="18"/>
              </w:rPr>
              <w:t>4</w:t>
            </w:r>
          </w:p>
        </w:tc>
        <w:tc>
          <w:tcPr>
            <w:tcW w:type="dxa" w:w="3456"/>
            <w:vAlign w:val="top"/>
          </w:tcPr>
          <w:p>
            <w:pPr>
              <w:spacing w:after="0" w:before="0"/>
            </w:pPr>
            <w:r>
              <w:rPr>
                <w:rFonts w:ascii="Calibri" w:hAnsi="Calibri"/>
                <w:sz w:val="18"/>
              </w:rPr>
            </w:r>
            <w:r>
              <w:rPr>
                <w:rFonts w:ascii="Calibri" w:hAnsi="Calibri"/>
                <w:b w:val="0"/>
                <w:sz w:val="18"/>
              </w:rPr>
              <w:t>Client Commercial Priorities</w:t>
            </w:r>
          </w:p>
        </w:tc>
        <w:tc>
          <w:tcPr>
            <w:tcW w:type="dxa" w:w="3456"/>
            <w:vAlign w:val="top"/>
          </w:tcPr>
          <w:p>
            <w:pPr>
              <w:spacing w:after="0" w:before="0"/>
            </w:pPr>
            <w:r>
              <w:rPr>
                <w:rFonts w:ascii="Calibri" w:hAnsi="Calibri"/>
                <w:sz w:val="18"/>
              </w:rPr>
            </w:r>
            <w:r>
              <w:rPr>
                <w:rFonts w:ascii="Calibri" w:hAnsi="Calibri"/>
                <w:b w:val="0"/>
                <w:sz w:val="18"/>
              </w:rPr>
              <w:t>What drafting risk appears, and how should the wording respond?</w:t>
            </w:r>
          </w:p>
        </w:tc>
      </w:tr>
      <w:tr>
        <w:tc>
          <w:tcPr>
            <w:tcW w:type="dxa" w:w="3456"/>
            <w:vAlign w:val="top"/>
          </w:tcPr>
          <w:p>
            <w:pPr>
              <w:spacing w:after="0" w:before="0"/>
            </w:pPr>
            <w:r>
              <w:rPr>
                <w:rFonts w:ascii="Calibri" w:hAnsi="Calibri"/>
                <w:sz w:val="18"/>
              </w:rPr>
            </w:r>
            <w:r>
              <w:rPr>
                <w:rFonts w:ascii="Calibri" w:hAnsi="Calibri"/>
                <w:b w:val="0"/>
                <w:sz w:val="18"/>
              </w:rPr>
              <w:t>5</w:t>
            </w:r>
          </w:p>
        </w:tc>
        <w:tc>
          <w:tcPr>
            <w:tcW w:type="dxa" w:w="3456"/>
            <w:vAlign w:val="top"/>
          </w:tcPr>
          <w:p>
            <w:pPr>
              <w:spacing w:after="0" w:before="0"/>
            </w:pPr>
            <w:r>
              <w:rPr>
                <w:rFonts w:ascii="Calibri" w:hAnsi="Calibri"/>
                <w:sz w:val="18"/>
              </w:rPr>
            </w:r>
            <w:r>
              <w:rPr>
                <w:rFonts w:ascii="Calibri" w:hAnsi="Calibri"/>
                <w:b w:val="0"/>
                <w:sz w:val="18"/>
              </w:rPr>
              <w:t>Data Processing Annex Extract</w:t>
            </w:r>
          </w:p>
        </w:tc>
        <w:tc>
          <w:tcPr>
            <w:tcW w:type="dxa" w:w="3456"/>
            <w:vAlign w:val="top"/>
          </w:tcPr>
          <w:p>
            <w:pPr>
              <w:spacing w:after="0" w:before="0"/>
            </w:pPr>
            <w:r>
              <w:rPr>
                <w:rFonts w:ascii="Calibri" w:hAnsi="Calibri"/>
                <w:sz w:val="18"/>
              </w:rPr>
            </w:r>
            <w:r>
              <w:rPr>
                <w:rFonts w:ascii="Calibri" w:hAnsi="Calibri"/>
                <w:b w:val="0"/>
                <w:sz w:val="18"/>
              </w:rPr>
              <w:t>What drafting risk appears, and how should the wording respond?</w:t>
            </w:r>
          </w:p>
        </w:tc>
      </w:tr>
      <w:tr>
        <w:tc>
          <w:tcPr>
            <w:tcW w:type="dxa" w:w="3456"/>
            <w:vAlign w:val="top"/>
          </w:tcPr>
          <w:p>
            <w:pPr>
              <w:spacing w:after="0" w:before="0"/>
            </w:pPr>
            <w:r>
              <w:rPr>
                <w:rFonts w:ascii="Calibri" w:hAnsi="Calibri"/>
                <w:sz w:val="18"/>
              </w:rPr>
            </w:r>
            <w:r>
              <w:rPr>
                <w:rFonts w:ascii="Calibri" w:hAnsi="Calibri"/>
                <w:b w:val="0"/>
                <w:sz w:val="18"/>
              </w:rPr>
              <w:t>6</w:t>
            </w:r>
          </w:p>
        </w:tc>
        <w:tc>
          <w:tcPr>
            <w:tcW w:type="dxa" w:w="3456"/>
            <w:vAlign w:val="top"/>
          </w:tcPr>
          <w:p>
            <w:pPr>
              <w:spacing w:after="0" w:before="0"/>
            </w:pPr>
            <w:r>
              <w:rPr>
                <w:rFonts w:ascii="Calibri" w:hAnsi="Calibri"/>
                <w:sz w:val="18"/>
              </w:rPr>
            </w:r>
            <w:r>
              <w:rPr>
                <w:rFonts w:ascii="Calibri" w:hAnsi="Calibri"/>
                <w:b w:val="0"/>
                <w:sz w:val="18"/>
              </w:rPr>
              <w:t>Negotiation Position Table</w:t>
            </w:r>
          </w:p>
        </w:tc>
        <w:tc>
          <w:tcPr>
            <w:tcW w:type="dxa" w:w="3456"/>
            <w:vAlign w:val="top"/>
          </w:tcPr>
          <w:p>
            <w:pPr>
              <w:spacing w:after="0" w:before="0"/>
            </w:pPr>
            <w:r>
              <w:rPr>
                <w:rFonts w:ascii="Calibri" w:hAnsi="Calibri"/>
                <w:sz w:val="18"/>
              </w:rPr>
            </w:r>
            <w:r>
              <w:rPr>
                <w:rFonts w:ascii="Calibri" w:hAnsi="Calibri"/>
                <w:b w:val="0"/>
                <w:sz w:val="18"/>
              </w:rPr>
              <w:t>What drafting risk appears, and how should the wording respond?</w:t>
            </w:r>
          </w:p>
        </w:tc>
      </w:tr>
    </w:tbl>
    <w:p>
      <w:pPr>
        <w:pStyle w:val="Heading1"/>
        <w:spacing w:before="120" w:after="80"/>
      </w:pPr>
      <w:r>
        <w:rPr>
          <w:rFonts w:ascii="Calibri" w:hAnsi="Calibri"/>
          <w:b/>
          <w:color w:val="1F2F42"/>
          <w:sz w:val="28"/>
        </w:rPr>
        <w:t>Clause and Fact Extraction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Item to extract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Exhibit / clause / page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Why it matters</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Action or follow-up</w:t>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bl>
    <w:p>
      <w:pPr>
        <w:pStyle w:val="Heading1"/>
        <w:spacing w:before="120" w:after="80"/>
      </w:pPr>
      <w:r>
        <w:rPr>
          <w:rFonts w:ascii="Calibri" w:hAnsi="Calibri"/>
          <w:b/>
          <w:color w:val="1F2F42"/>
          <w:sz w:val="28"/>
        </w:rPr>
        <w:t>Risk and 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Risk category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Evidence found</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Severity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Recommended response</w:t>
            </w:r>
          </w:p>
        </w:tc>
      </w:tr>
      <w:tr>
        <w:tc>
          <w:tcPr>
            <w:tcW w:type="dxa" w:w="2592"/>
            <w:vAlign w:val="top"/>
          </w:tcPr>
          <w:p>
            <w:pPr>
              <w:spacing w:after="0" w:before="0"/>
            </w:pPr>
            <w:r>
              <w:rPr>
                <w:rFonts w:ascii="Calibri" w:hAnsi="Calibri"/>
                <w:sz w:val="19"/>
              </w:rPr>
            </w:r>
            <w:r>
              <w:rPr>
                <w:rFonts w:ascii="Calibri" w:hAnsi="Calibri"/>
                <w:b w:val="0"/>
                <w:sz w:val="19"/>
              </w:rPr>
              <w:t>Legal / contractual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Commercial / financial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Operational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Reputational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Ethics / professional judgment</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Evidence gaps</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Timing / deadline</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bl>
    <w:p>
      <w:r>
        <w:br w:type="page"/>
      </w:r>
    </w:p>
    <w:p>
      <w:pPr>
        <w:pStyle w:val="Heading1"/>
        <w:spacing w:before="120" w:after="80"/>
      </w:pPr>
      <w:r>
        <w:rPr>
          <w:rFonts w:ascii="Calibri" w:hAnsi="Calibri"/>
          <w:b/>
          <w:color w:val="1F2F42"/>
          <w:sz w:val="28"/>
        </w:rPr>
        <w:t>Exhibit 1: Supervisor Instruction Email</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7 November</w:t>
            </w:r>
          </w:p>
        </w:tc>
      </w:tr>
      <w:tr>
        <w:tc>
          <w:tcPr>
            <w:tcW w:type="dxa" w:w="5184"/>
            <w:shd w:fill="E9EEF3"/>
            <w:vAlign w:val="top"/>
          </w:tcPr>
          <w:p>
            <w:pPr>
              <w:spacing w:after="0" w:before="0"/>
            </w:pPr>
            <w:r>
              <w:rPr>
                <w:rFonts w:ascii="Calibri" w:hAnsi="Calibri"/>
                <w:sz w:val="21"/>
              </w:rPr>
            </w:r>
            <w:r>
              <w:rPr>
                <w:rFonts w:ascii="Calibri" w:hAnsi="Calibri"/>
                <w:b/>
                <w:color w:val="1F2F42"/>
                <w:sz w:val="21"/>
              </w:rPr>
              <w:t>From</w:t>
            </w:r>
          </w:p>
        </w:tc>
        <w:tc>
          <w:tcPr>
            <w:tcW w:type="dxa" w:w="5184"/>
            <w:vAlign w:val="top"/>
          </w:tcPr>
          <w:p>
            <w:pPr>
              <w:spacing w:after="0" w:before="0"/>
            </w:pPr>
            <w:r>
              <w:rPr>
                <w:rFonts w:ascii="Calibri" w:hAnsi="Calibri"/>
                <w:sz w:val="21"/>
              </w:rPr>
            </w:r>
            <w:r>
              <w:rPr>
                <w:rFonts w:ascii="Calibri" w:hAnsi="Calibri"/>
                <w:b w:val="0"/>
                <w:sz w:val="21"/>
              </w:rPr>
              <w:t>Commercial Partner</w:t>
            </w:r>
          </w:p>
        </w:tc>
      </w:tr>
      <w:tr>
        <w:tc>
          <w:tcPr>
            <w:tcW w:type="dxa" w:w="5184"/>
            <w:shd w:fill="E9EEF3"/>
            <w:vAlign w:val="top"/>
          </w:tcPr>
          <w:p>
            <w:pPr>
              <w:spacing w:after="0" w:before="0"/>
            </w:pPr>
            <w:r>
              <w:rPr>
                <w:rFonts w:ascii="Calibri" w:hAnsi="Calibri"/>
                <w:sz w:val="21"/>
              </w:rPr>
            </w:r>
            <w:r>
              <w:rPr>
                <w:rFonts w:ascii="Calibri" w:hAnsi="Calibri"/>
                <w:b/>
                <w:color w:val="1F2F42"/>
                <w:sz w:val="21"/>
              </w:rPr>
              <w:t>To</w:t>
            </w:r>
          </w:p>
        </w:tc>
        <w:tc>
          <w:tcPr>
            <w:tcW w:type="dxa" w:w="5184"/>
            <w:vAlign w:val="top"/>
          </w:tcPr>
          <w:p>
            <w:pPr>
              <w:spacing w:after="0" w:before="0"/>
            </w:pPr>
            <w:r>
              <w:rPr>
                <w:rFonts w:ascii="Calibri" w:hAnsi="Calibri"/>
                <w:sz w:val="21"/>
              </w:rPr>
            </w:r>
            <w:r>
              <w:rPr>
                <w:rFonts w:ascii="Calibri" w:hAnsi="Calibri"/>
                <w:b w:val="0"/>
                <w:sz w:val="21"/>
              </w:rPr>
              <w:t>Student</w:t>
            </w:r>
          </w:p>
        </w:tc>
      </w:tr>
      <w:tr>
        <w:tc>
          <w:tcPr>
            <w:tcW w:type="dxa" w:w="5184"/>
            <w:shd w:fill="E9EEF3"/>
            <w:vAlign w:val="top"/>
          </w:tcPr>
          <w:p>
            <w:pPr>
              <w:spacing w:after="0" w:before="0"/>
            </w:pPr>
            <w:r>
              <w:rPr>
                <w:rFonts w:ascii="Calibri" w:hAnsi="Calibri"/>
                <w:sz w:val="21"/>
              </w:rPr>
            </w:r>
            <w:r>
              <w:rPr>
                <w:rFonts w:ascii="Calibri" w:hAnsi="Calibri"/>
                <w:b/>
                <w:color w:val="1F2F42"/>
                <w:sz w:val="21"/>
              </w:rPr>
              <w:t>Purpose</w:t>
            </w:r>
          </w:p>
        </w:tc>
        <w:tc>
          <w:tcPr>
            <w:tcW w:type="dxa" w:w="5184"/>
            <w:vAlign w:val="top"/>
          </w:tcPr>
          <w:p>
            <w:pPr>
              <w:spacing w:after="0" w:before="0"/>
            </w:pPr>
            <w:r>
              <w:rPr>
                <w:rFonts w:ascii="Calibri" w:hAnsi="Calibri"/>
                <w:sz w:val="21"/>
              </w:rPr>
            </w:r>
            <w:r>
              <w:rPr>
                <w:rFonts w:ascii="Calibri" w:hAnsi="Calibri"/>
                <w:b w:val="0"/>
                <w:sz w:val="21"/>
              </w:rPr>
              <w:t>Drafting review</w:t>
            </w:r>
          </w:p>
        </w:tc>
      </w:tr>
    </w:tbl>
    <w:p>
      <w:pPr>
        <w:spacing w:after="80" w:before="0" w:line="252" w:lineRule="auto"/>
      </w:pPr>
      <w:r>
        <w:rPr>
          <w:rFonts w:ascii="Calibri" w:hAnsi="Calibri"/>
          <w:b w:val="0"/>
          <w:i w:val="0"/>
          <w:sz w:val="24"/>
        </w:rPr>
        <w:t>Our client, HarborPay, is acquiring hosted payment processing services. The supplier draft is very supplier-friendly. Please redraft the clauses so the client has a meaningful remedy for serious downtime, data loss and repeated failures, while keeping the drafting realistic for negotiation.</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2: Supplier Draft Clause 12</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Document</w:t>
            </w:r>
          </w:p>
        </w:tc>
        <w:tc>
          <w:tcPr>
            <w:tcW w:type="dxa" w:w="5184"/>
            <w:vAlign w:val="top"/>
          </w:tcPr>
          <w:p>
            <w:pPr>
              <w:spacing w:after="0" w:before="0"/>
            </w:pPr>
            <w:r>
              <w:rPr>
                <w:rFonts w:ascii="Calibri" w:hAnsi="Calibri"/>
                <w:sz w:val="21"/>
              </w:rPr>
            </w:r>
            <w:r>
              <w:rPr>
                <w:rFonts w:ascii="Calibri" w:hAnsi="Calibri"/>
                <w:b w:val="0"/>
                <w:sz w:val="21"/>
              </w:rPr>
              <w:t>Cloud Processing Agreement</w:t>
            </w:r>
          </w:p>
        </w:tc>
      </w:tr>
      <w:tr>
        <w:tc>
          <w:tcPr>
            <w:tcW w:type="dxa" w:w="5184"/>
            <w:shd w:fill="E9EEF3"/>
            <w:vAlign w:val="top"/>
          </w:tcPr>
          <w:p>
            <w:pPr>
              <w:spacing w:after="0" w:before="0"/>
            </w:pPr>
            <w:r>
              <w:rPr>
                <w:rFonts w:ascii="Calibri" w:hAnsi="Calibri"/>
                <w:sz w:val="21"/>
              </w:rPr>
            </w:r>
            <w:r>
              <w:rPr>
                <w:rFonts w:ascii="Calibri" w:hAnsi="Calibri"/>
                <w:b/>
                <w:color w:val="1F2F42"/>
                <w:sz w:val="21"/>
              </w:rPr>
              <w:t>Clause</w:t>
            </w:r>
          </w:p>
        </w:tc>
        <w:tc>
          <w:tcPr>
            <w:tcW w:type="dxa" w:w="5184"/>
            <w:vAlign w:val="top"/>
          </w:tcPr>
          <w:p>
            <w:pPr>
              <w:spacing w:after="0" w:before="0"/>
            </w:pPr>
            <w:r>
              <w:rPr>
                <w:rFonts w:ascii="Calibri" w:hAnsi="Calibri"/>
                <w:sz w:val="21"/>
              </w:rPr>
            </w:r>
            <w:r>
              <w:rPr>
                <w:rFonts w:ascii="Calibri" w:hAnsi="Calibri"/>
                <w:b w:val="0"/>
                <w:sz w:val="21"/>
              </w:rPr>
              <w:t>12 Liability</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Supplier first draft</w:t>
            </w:r>
          </w:p>
        </w:tc>
      </w:tr>
    </w:tbl>
    <w:p>
      <w:pPr>
        <w:spacing w:after="80" w:before="0" w:line="252" w:lineRule="auto"/>
      </w:pPr>
      <w:r>
        <w:rPr>
          <w:rFonts w:ascii="Calibri" w:hAnsi="Calibri"/>
          <w:b w:val="0"/>
          <w:i w:val="0"/>
          <w:sz w:val="24"/>
        </w:rPr>
        <w:t>12.1 The Supplier shall not be liable for any loss of profit, loss of revenue, loss of goodwill, data loss, business interruption or indirect loss in any circumstances. 12.2 The Supplier’s total liability shall not exceed one month of fees. 12.3 Service credits are the Customer’s sole and exclusive remedy for any service failure.</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3: Service Credit Schedule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Document</w:t>
            </w:r>
          </w:p>
        </w:tc>
        <w:tc>
          <w:tcPr>
            <w:tcW w:type="dxa" w:w="5184"/>
            <w:vAlign w:val="top"/>
          </w:tcPr>
          <w:p>
            <w:pPr>
              <w:spacing w:after="0" w:before="0"/>
            </w:pPr>
            <w:r>
              <w:rPr>
                <w:rFonts w:ascii="Calibri" w:hAnsi="Calibri"/>
                <w:sz w:val="21"/>
              </w:rPr>
            </w:r>
            <w:r>
              <w:rPr>
                <w:rFonts w:ascii="Calibri" w:hAnsi="Calibri"/>
                <w:b w:val="0"/>
                <w:sz w:val="21"/>
              </w:rPr>
              <w:t>Schedule 3</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Supplier draft</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Availability</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Credit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Comment</w:t>
            </w:r>
          </w:p>
        </w:tc>
      </w:tr>
      <w:tr>
        <w:tc>
          <w:tcPr>
            <w:tcW w:type="dxa" w:w="3456"/>
            <w:vAlign w:val="top"/>
          </w:tcPr>
          <w:p>
            <w:pPr>
              <w:spacing w:after="0" w:before="0"/>
            </w:pPr>
            <w:r>
              <w:rPr>
                <w:rFonts w:ascii="Calibri" w:hAnsi="Calibri"/>
                <w:sz w:val="18"/>
              </w:rPr>
            </w:r>
            <w:r>
              <w:rPr>
                <w:rFonts w:ascii="Calibri" w:hAnsi="Calibri"/>
                <w:b w:val="0"/>
                <w:sz w:val="18"/>
              </w:rPr>
              <w:t>99.5% or above</w:t>
            </w:r>
          </w:p>
        </w:tc>
        <w:tc>
          <w:tcPr>
            <w:tcW w:type="dxa" w:w="3456"/>
            <w:vAlign w:val="top"/>
          </w:tcPr>
          <w:p>
            <w:pPr>
              <w:spacing w:after="0" w:before="0"/>
            </w:pPr>
            <w:r>
              <w:rPr>
                <w:rFonts w:ascii="Calibri" w:hAnsi="Calibri"/>
                <w:sz w:val="18"/>
              </w:rPr>
            </w:r>
            <w:r>
              <w:rPr>
                <w:rFonts w:ascii="Calibri" w:hAnsi="Calibri"/>
                <w:b w:val="0"/>
                <w:sz w:val="18"/>
              </w:rPr>
              <w:t>No credit</w:t>
            </w:r>
          </w:p>
        </w:tc>
        <w:tc>
          <w:tcPr>
            <w:tcW w:type="dxa" w:w="3456"/>
            <w:vAlign w:val="top"/>
          </w:tcPr>
          <w:p>
            <w:pPr>
              <w:spacing w:after="0" w:before="0"/>
            </w:pPr>
            <w:r>
              <w:rPr>
                <w:rFonts w:ascii="Calibri" w:hAnsi="Calibri"/>
                <w:sz w:val="18"/>
              </w:rPr>
            </w:r>
            <w:r>
              <w:rPr>
                <w:rFonts w:ascii="Calibri" w:hAnsi="Calibri"/>
                <w:b w:val="0"/>
                <w:sz w:val="18"/>
              </w:rPr>
              <w:t>Target only</w:t>
            </w:r>
          </w:p>
        </w:tc>
      </w:tr>
      <w:tr>
        <w:tc>
          <w:tcPr>
            <w:tcW w:type="dxa" w:w="3456"/>
            <w:vAlign w:val="top"/>
          </w:tcPr>
          <w:p>
            <w:pPr>
              <w:spacing w:after="0" w:before="0"/>
            </w:pPr>
            <w:r>
              <w:rPr>
                <w:rFonts w:ascii="Calibri" w:hAnsi="Calibri"/>
                <w:sz w:val="18"/>
              </w:rPr>
            </w:r>
            <w:r>
              <w:rPr>
                <w:rFonts w:ascii="Calibri" w:hAnsi="Calibri"/>
                <w:b w:val="0"/>
                <w:sz w:val="18"/>
              </w:rPr>
              <w:t>98.0% to 99.49%</w:t>
            </w:r>
          </w:p>
        </w:tc>
        <w:tc>
          <w:tcPr>
            <w:tcW w:type="dxa" w:w="3456"/>
            <w:vAlign w:val="top"/>
          </w:tcPr>
          <w:p>
            <w:pPr>
              <w:spacing w:after="0" w:before="0"/>
            </w:pPr>
            <w:r>
              <w:rPr>
                <w:rFonts w:ascii="Calibri" w:hAnsi="Calibri"/>
                <w:sz w:val="18"/>
              </w:rPr>
            </w:r>
            <w:r>
              <w:rPr>
                <w:rFonts w:ascii="Calibri" w:hAnsi="Calibri"/>
                <w:b w:val="0"/>
                <w:sz w:val="18"/>
              </w:rPr>
              <w:t>2% monthly fee</w:t>
            </w:r>
          </w:p>
        </w:tc>
        <w:tc>
          <w:tcPr>
            <w:tcW w:type="dxa" w:w="3456"/>
            <w:vAlign w:val="top"/>
          </w:tcPr>
          <w:p>
            <w:pPr>
              <w:spacing w:after="0" w:before="0"/>
            </w:pPr>
            <w:r>
              <w:rPr>
                <w:rFonts w:ascii="Calibri" w:hAnsi="Calibri"/>
                <w:sz w:val="18"/>
              </w:rPr>
            </w:r>
            <w:r>
              <w:rPr>
                <w:rFonts w:ascii="Calibri" w:hAnsi="Calibri"/>
                <w:b w:val="0"/>
                <w:sz w:val="18"/>
              </w:rPr>
              <w:t>Low remedy</w:t>
            </w:r>
          </w:p>
        </w:tc>
      </w:tr>
      <w:tr>
        <w:tc>
          <w:tcPr>
            <w:tcW w:type="dxa" w:w="3456"/>
            <w:vAlign w:val="top"/>
          </w:tcPr>
          <w:p>
            <w:pPr>
              <w:spacing w:after="0" w:before="0"/>
            </w:pPr>
            <w:r>
              <w:rPr>
                <w:rFonts w:ascii="Calibri" w:hAnsi="Calibri"/>
                <w:sz w:val="18"/>
              </w:rPr>
            </w:r>
            <w:r>
              <w:rPr>
                <w:rFonts w:ascii="Calibri" w:hAnsi="Calibri"/>
                <w:b w:val="0"/>
                <w:sz w:val="18"/>
              </w:rPr>
              <w:t>Below 98.0%</w:t>
            </w:r>
          </w:p>
        </w:tc>
        <w:tc>
          <w:tcPr>
            <w:tcW w:type="dxa" w:w="3456"/>
            <w:vAlign w:val="top"/>
          </w:tcPr>
          <w:p>
            <w:pPr>
              <w:spacing w:after="0" w:before="0"/>
            </w:pPr>
            <w:r>
              <w:rPr>
                <w:rFonts w:ascii="Calibri" w:hAnsi="Calibri"/>
                <w:sz w:val="18"/>
              </w:rPr>
            </w:r>
            <w:r>
              <w:rPr>
                <w:rFonts w:ascii="Calibri" w:hAnsi="Calibri"/>
                <w:b w:val="0"/>
                <w:sz w:val="18"/>
              </w:rPr>
              <w:t>5% monthly fee</w:t>
            </w:r>
          </w:p>
        </w:tc>
        <w:tc>
          <w:tcPr>
            <w:tcW w:type="dxa" w:w="3456"/>
            <w:vAlign w:val="top"/>
          </w:tcPr>
          <w:p>
            <w:pPr>
              <w:spacing w:after="0" w:before="0"/>
            </w:pPr>
            <w:r>
              <w:rPr>
                <w:rFonts w:ascii="Calibri" w:hAnsi="Calibri"/>
                <w:sz w:val="18"/>
              </w:rPr>
            </w:r>
            <w:r>
              <w:rPr>
                <w:rFonts w:ascii="Calibri" w:hAnsi="Calibri"/>
                <w:b w:val="0"/>
                <w:sz w:val="18"/>
              </w:rPr>
              <w:t>No escalation</w:t>
            </w:r>
          </w:p>
        </w:tc>
      </w:tr>
      <w:tr>
        <w:tc>
          <w:tcPr>
            <w:tcW w:type="dxa" w:w="3456"/>
            <w:vAlign w:val="top"/>
          </w:tcPr>
          <w:p>
            <w:pPr>
              <w:spacing w:after="0" w:before="0"/>
            </w:pPr>
            <w:r>
              <w:rPr>
                <w:rFonts w:ascii="Calibri" w:hAnsi="Calibri"/>
                <w:sz w:val="18"/>
              </w:rPr>
            </w:r>
            <w:r>
              <w:rPr>
                <w:rFonts w:ascii="Calibri" w:hAnsi="Calibri"/>
                <w:b w:val="0"/>
                <w:sz w:val="18"/>
              </w:rPr>
              <w:t>Repeated failure</w:t>
            </w:r>
          </w:p>
        </w:tc>
        <w:tc>
          <w:tcPr>
            <w:tcW w:type="dxa" w:w="3456"/>
            <w:vAlign w:val="top"/>
          </w:tcPr>
          <w:p>
            <w:pPr>
              <w:spacing w:after="0" w:before="0"/>
            </w:pPr>
            <w:r>
              <w:rPr>
                <w:rFonts w:ascii="Calibri" w:hAnsi="Calibri"/>
                <w:sz w:val="18"/>
              </w:rPr>
            </w:r>
            <w:r>
              <w:rPr>
                <w:rFonts w:ascii="Calibri" w:hAnsi="Calibri"/>
                <w:b w:val="0"/>
                <w:sz w:val="18"/>
              </w:rPr>
              <w:t>No separate right</w:t>
            </w:r>
          </w:p>
        </w:tc>
        <w:tc>
          <w:tcPr>
            <w:tcW w:type="dxa" w:w="3456"/>
            <w:vAlign w:val="top"/>
          </w:tcPr>
          <w:p>
            <w:pPr>
              <w:spacing w:after="0" w:before="0"/>
            </w:pPr>
            <w:r>
              <w:rPr>
                <w:rFonts w:ascii="Calibri" w:hAnsi="Calibri"/>
                <w:sz w:val="18"/>
              </w:rPr>
            </w:r>
            <w:r>
              <w:rPr>
                <w:rFonts w:ascii="Calibri" w:hAnsi="Calibri"/>
                <w:b w:val="0"/>
                <w:sz w:val="18"/>
              </w:rPr>
              <w:t>Termination gap</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4: Client Commercial Priorities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HarborPay COO</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Negotiation note</w:t>
            </w:r>
          </w:p>
        </w:tc>
      </w:tr>
    </w:tbl>
    <w:p>
      <w:pPr>
        <w:pStyle w:val="ListBullet"/>
        <w:spacing w:after="40"/>
        <w:ind w:left="288"/>
      </w:pPr>
      <w:r>
        <w:rPr>
          <w:rFonts w:ascii="Calibri" w:hAnsi="Calibri"/>
          <w:sz w:val="24"/>
        </w:rPr>
        <w:t>Downtime during peak trading could cause major merchant complaints.</w:t>
      </w:r>
    </w:p>
    <w:p>
      <w:pPr>
        <w:pStyle w:val="ListBullet"/>
        <w:spacing w:after="40"/>
        <w:ind w:left="288"/>
      </w:pPr>
      <w:r>
        <w:rPr>
          <w:rFonts w:ascii="Calibri" w:hAnsi="Calibri"/>
          <w:sz w:val="24"/>
        </w:rPr>
        <w:t>Data integrity matters more than small monthly credits.</w:t>
      </w:r>
    </w:p>
    <w:p>
      <w:pPr>
        <w:pStyle w:val="ListBullet"/>
        <w:spacing w:after="40"/>
        <w:ind w:left="288"/>
      </w:pPr>
      <w:r>
        <w:rPr>
          <w:rFonts w:ascii="Calibri" w:hAnsi="Calibri"/>
          <w:sz w:val="24"/>
        </w:rPr>
        <w:t>Client wants a right to terminate if failures are repeated.</w:t>
      </w:r>
    </w:p>
    <w:p>
      <w:pPr>
        <w:pStyle w:val="ListBullet"/>
        <w:spacing w:after="40"/>
        <w:ind w:left="288"/>
      </w:pPr>
      <w:r>
        <w:rPr>
          <w:rFonts w:ascii="Calibri" w:hAnsi="Calibri"/>
          <w:sz w:val="24"/>
        </w:rPr>
        <w:t>Client may accept a reasonable cap if core risks are carved out.</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5: Data Processing Annex Extract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Separate schedule</w:t>
            </w:r>
          </w:p>
        </w:tc>
      </w:tr>
      <w:tr>
        <w:tc>
          <w:tcPr>
            <w:tcW w:type="dxa" w:w="5184"/>
            <w:shd w:fill="E9EEF3"/>
            <w:vAlign w:val="top"/>
          </w:tcPr>
          <w:p>
            <w:pPr>
              <w:spacing w:after="0" w:before="0"/>
            </w:pPr>
            <w:r>
              <w:rPr>
                <w:rFonts w:ascii="Calibri" w:hAnsi="Calibri"/>
                <w:sz w:val="21"/>
              </w:rPr>
            </w:r>
            <w:r>
              <w:rPr>
                <w:rFonts w:ascii="Calibri" w:hAnsi="Calibri"/>
                <w:b/>
                <w:color w:val="1F2F42"/>
                <w:sz w:val="21"/>
              </w:rPr>
              <w:t>Issue</w:t>
            </w:r>
          </w:p>
        </w:tc>
        <w:tc>
          <w:tcPr>
            <w:tcW w:type="dxa" w:w="5184"/>
            <w:vAlign w:val="top"/>
          </w:tcPr>
          <w:p>
            <w:pPr>
              <w:spacing w:after="0" w:before="0"/>
            </w:pPr>
            <w:r>
              <w:rPr>
                <w:rFonts w:ascii="Calibri" w:hAnsi="Calibri"/>
                <w:sz w:val="21"/>
              </w:rPr>
            </w:r>
            <w:r>
              <w:rPr>
                <w:rFonts w:ascii="Calibri" w:hAnsi="Calibri"/>
                <w:b w:val="0"/>
                <w:sz w:val="21"/>
              </w:rPr>
              <w:t>Potential inconsistency</w:t>
            </w:r>
          </w:p>
        </w:tc>
      </w:tr>
    </w:tbl>
    <w:p>
      <w:pPr>
        <w:spacing w:after="80" w:before="0" w:line="252" w:lineRule="auto"/>
      </w:pPr>
      <w:r>
        <w:rPr>
          <w:rFonts w:ascii="Calibri" w:hAnsi="Calibri"/>
          <w:b w:val="0"/>
          <w:i w:val="0"/>
          <w:sz w:val="24"/>
        </w:rPr>
        <w:t>The supplier will maintain reasonable safeguards and backup processes. The supplier will notify the customer without undue delay of any material security incident affecting hosted transaction data.</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Does Clause 12 exclude data loss too broadly?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Should security or confidentiality risks be carved out?</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notification wording need a remedy?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6: Negotiation Position Table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Client procurement</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Internal</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Point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Ideal position</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Fallback</w:t>
            </w:r>
          </w:p>
        </w:tc>
      </w:tr>
      <w:tr>
        <w:tc>
          <w:tcPr>
            <w:tcW w:type="dxa" w:w="3456"/>
            <w:vAlign w:val="top"/>
          </w:tcPr>
          <w:p>
            <w:pPr>
              <w:spacing w:after="0" w:before="0"/>
            </w:pPr>
            <w:r>
              <w:rPr>
                <w:rFonts w:ascii="Calibri" w:hAnsi="Calibri"/>
                <w:sz w:val="18"/>
              </w:rPr>
            </w:r>
            <w:r>
              <w:rPr>
                <w:rFonts w:ascii="Calibri" w:hAnsi="Calibri"/>
                <w:b w:val="0"/>
                <w:sz w:val="18"/>
              </w:rPr>
              <w:t>Liability cap</w:t>
            </w:r>
          </w:p>
        </w:tc>
        <w:tc>
          <w:tcPr>
            <w:tcW w:type="dxa" w:w="3456"/>
            <w:vAlign w:val="top"/>
          </w:tcPr>
          <w:p>
            <w:pPr>
              <w:spacing w:after="0" w:before="0"/>
            </w:pPr>
            <w:r>
              <w:rPr>
                <w:rFonts w:ascii="Calibri" w:hAnsi="Calibri"/>
                <w:sz w:val="18"/>
              </w:rPr>
            </w:r>
            <w:r>
              <w:rPr>
                <w:rFonts w:ascii="Calibri" w:hAnsi="Calibri"/>
                <w:b w:val="0"/>
                <w:sz w:val="18"/>
              </w:rPr>
              <w:t>12 months fees</w:t>
            </w:r>
          </w:p>
        </w:tc>
        <w:tc>
          <w:tcPr>
            <w:tcW w:type="dxa" w:w="3456"/>
            <w:vAlign w:val="top"/>
          </w:tcPr>
          <w:p>
            <w:pPr>
              <w:spacing w:after="0" w:before="0"/>
            </w:pPr>
            <w:r>
              <w:rPr>
                <w:rFonts w:ascii="Calibri" w:hAnsi="Calibri"/>
                <w:sz w:val="18"/>
              </w:rPr>
            </w:r>
            <w:r>
              <w:rPr>
                <w:rFonts w:ascii="Calibri" w:hAnsi="Calibri"/>
                <w:b w:val="0"/>
                <w:sz w:val="18"/>
              </w:rPr>
              <w:t>6 months fees</w:t>
            </w:r>
          </w:p>
        </w:tc>
      </w:tr>
      <w:tr>
        <w:tc>
          <w:tcPr>
            <w:tcW w:type="dxa" w:w="3456"/>
            <w:vAlign w:val="top"/>
          </w:tcPr>
          <w:p>
            <w:pPr>
              <w:spacing w:after="0" w:before="0"/>
            </w:pPr>
            <w:r>
              <w:rPr>
                <w:rFonts w:ascii="Calibri" w:hAnsi="Calibri"/>
                <w:sz w:val="18"/>
              </w:rPr>
            </w:r>
            <w:r>
              <w:rPr>
                <w:rFonts w:ascii="Calibri" w:hAnsi="Calibri"/>
                <w:b w:val="0"/>
                <w:sz w:val="18"/>
              </w:rPr>
              <w:t>Data loss</w:t>
            </w:r>
          </w:p>
        </w:tc>
        <w:tc>
          <w:tcPr>
            <w:tcW w:type="dxa" w:w="3456"/>
            <w:vAlign w:val="top"/>
          </w:tcPr>
          <w:p>
            <w:pPr>
              <w:spacing w:after="0" w:before="0"/>
            </w:pPr>
            <w:r>
              <w:rPr>
                <w:rFonts w:ascii="Calibri" w:hAnsi="Calibri"/>
                <w:sz w:val="18"/>
              </w:rPr>
            </w:r>
            <w:r>
              <w:rPr>
                <w:rFonts w:ascii="Calibri" w:hAnsi="Calibri"/>
                <w:b w:val="0"/>
                <w:sz w:val="18"/>
              </w:rPr>
              <w:t>Carve-out or super-cap</w:t>
            </w:r>
          </w:p>
        </w:tc>
        <w:tc>
          <w:tcPr>
            <w:tcW w:type="dxa" w:w="3456"/>
            <w:vAlign w:val="top"/>
          </w:tcPr>
          <w:p>
            <w:pPr>
              <w:spacing w:after="0" w:before="0"/>
            </w:pPr>
            <w:r>
              <w:rPr>
                <w:rFonts w:ascii="Calibri" w:hAnsi="Calibri"/>
                <w:sz w:val="18"/>
              </w:rPr>
            </w:r>
            <w:r>
              <w:rPr>
                <w:rFonts w:ascii="Calibri" w:hAnsi="Calibri"/>
                <w:b w:val="0"/>
                <w:sz w:val="18"/>
              </w:rPr>
              <w:t>Higher cap</w:t>
            </w:r>
          </w:p>
        </w:tc>
      </w:tr>
      <w:tr>
        <w:tc>
          <w:tcPr>
            <w:tcW w:type="dxa" w:w="3456"/>
            <w:vAlign w:val="top"/>
          </w:tcPr>
          <w:p>
            <w:pPr>
              <w:spacing w:after="0" w:before="0"/>
            </w:pPr>
            <w:r>
              <w:rPr>
                <w:rFonts w:ascii="Calibri" w:hAnsi="Calibri"/>
                <w:sz w:val="18"/>
              </w:rPr>
            </w:r>
            <w:r>
              <w:rPr>
                <w:rFonts w:ascii="Calibri" w:hAnsi="Calibri"/>
                <w:b w:val="0"/>
                <w:sz w:val="18"/>
              </w:rPr>
              <w:t>Service credits</w:t>
            </w:r>
          </w:p>
        </w:tc>
        <w:tc>
          <w:tcPr>
            <w:tcW w:type="dxa" w:w="3456"/>
            <w:vAlign w:val="top"/>
          </w:tcPr>
          <w:p>
            <w:pPr>
              <w:spacing w:after="0" w:before="0"/>
            </w:pPr>
            <w:r>
              <w:rPr>
                <w:rFonts w:ascii="Calibri" w:hAnsi="Calibri"/>
                <w:sz w:val="18"/>
              </w:rPr>
            </w:r>
            <w:r>
              <w:rPr>
                <w:rFonts w:ascii="Calibri" w:hAnsi="Calibri"/>
                <w:b w:val="0"/>
                <w:sz w:val="18"/>
              </w:rPr>
              <w:t>Not sole remedy for serious breach</w:t>
            </w:r>
          </w:p>
        </w:tc>
        <w:tc>
          <w:tcPr>
            <w:tcW w:type="dxa" w:w="3456"/>
            <w:vAlign w:val="top"/>
          </w:tcPr>
          <w:p>
            <w:pPr>
              <w:spacing w:after="0" w:before="0"/>
            </w:pPr>
            <w:r>
              <w:rPr>
                <w:rFonts w:ascii="Calibri" w:hAnsi="Calibri"/>
                <w:sz w:val="18"/>
              </w:rPr>
            </w:r>
            <w:r>
              <w:rPr>
                <w:rFonts w:ascii="Calibri" w:hAnsi="Calibri"/>
                <w:b w:val="0"/>
                <w:sz w:val="18"/>
              </w:rPr>
              <w:t>Sole only for minor SLA failure</w:t>
            </w:r>
          </w:p>
        </w:tc>
      </w:tr>
      <w:tr>
        <w:tc>
          <w:tcPr>
            <w:tcW w:type="dxa" w:w="3456"/>
            <w:vAlign w:val="top"/>
          </w:tcPr>
          <w:p>
            <w:pPr>
              <w:spacing w:after="0" w:before="0"/>
            </w:pPr>
            <w:r>
              <w:rPr>
                <w:rFonts w:ascii="Calibri" w:hAnsi="Calibri"/>
                <w:sz w:val="18"/>
              </w:rPr>
            </w:r>
            <w:r>
              <w:rPr>
                <w:rFonts w:ascii="Calibri" w:hAnsi="Calibri"/>
                <w:b w:val="0"/>
                <w:sz w:val="18"/>
              </w:rPr>
              <w:t>Termination</w:t>
            </w:r>
          </w:p>
        </w:tc>
        <w:tc>
          <w:tcPr>
            <w:tcW w:type="dxa" w:w="3456"/>
            <w:vAlign w:val="top"/>
          </w:tcPr>
          <w:p>
            <w:pPr>
              <w:spacing w:after="0" w:before="0"/>
            </w:pPr>
            <w:r>
              <w:rPr>
                <w:rFonts w:ascii="Calibri" w:hAnsi="Calibri"/>
                <w:sz w:val="18"/>
              </w:rPr>
            </w:r>
            <w:r>
              <w:rPr>
                <w:rFonts w:ascii="Calibri" w:hAnsi="Calibri"/>
                <w:b w:val="0"/>
                <w:sz w:val="18"/>
              </w:rPr>
              <w:t>Immediate after critical repeated failure</w:t>
            </w:r>
          </w:p>
        </w:tc>
        <w:tc>
          <w:tcPr>
            <w:tcW w:type="dxa" w:w="3456"/>
            <w:vAlign w:val="top"/>
          </w:tcPr>
          <w:p>
            <w:pPr>
              <w:spacing w:after="0" w:before="0"/>
            </w:pPr>
            <w:r>
              <w:rPr>
                <w:rFonts w:ascii="Calibri" w:hAnsi="Calibri"/>
                <w:sz w:val="18"/>
              </w:rPr>
            </w:r>
            <w:r>
              <w:rPr>
                <w:rFonts w:ascii="Calibri" w:hAnsi="Calibri"/>
                <w:b w:val="0"/>
                <w:sz w:val="18"/>
              </w:rPr>
              <w:t>Cure period plus escalation</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Final Student Submission Checklist</w:t>
      </w:r>
    </w:p>
    <w:p>
      <w:pPr>
        <w:spacing w:after="80" w:before="0" w:line="252" w:lineRule="auto"/>
      </w:pPr>
      <w:r>
        <w:rPr>
          <w:rFonts w:ascii="Calibri" w:hAnsi="Calibri"/>
          <w:b w:val="0"/>
          <w:i w:val="0"/>
          <w:sz w:val="24"/>
        </w:rPr>
        <w:t>☐ I have identified the relevant clauses, documents and factual evidence.</w:t>
      </w:r>
    </w:p>
    <w:p>
      <w:pPr>
        <w:spacing w:after="80" w:before="0" w:line="252" w:lineRule="auto"/>
      </w:pPr>
      <w:r>
        <w:rPr>
          <w:rFonts w:ascii="Calibri" w:hAnsi="Calibri"/>
          <w:b w:val="0"/>
          <w:i w:val="0"/>
          <w:sz w:val="24"/>
        </w:rPr>
        <w:t>☐ I have distinguished agreed facts from disputed facts.</w:t>
      </w:r>
    </w:p>
    <w:p>
      <w:pPr>
        <w:spacing w:after="80" w:before="0" w:line="252" w:lineRule="auto"/>
      </w:pPr>
      <w:r>
        <w:rPr>
          <w:rFonts w:ascii="Calibri" w:hAnsi="Calibri"/>
          <w:b w:val="0"/>
          <w:i w:val="0"/>
          <w:sz w:val="24"/>
        </w:rPr>
        <w:t>☐ I have identified missing information and practical follow-up questions.</w:t>
      </w:r>
    </w:p>
    <w:p>
      <w:pPr>
        <w:spacing w:after="80" w:before="0" w:line="252" w:lineRule="auto"/>
      </w:pPr>
      <w:r>
        <w:rPr>
          <w:rFonts w:ascii="Calibri" w:hAnsi="Calibri"/>
          <w:b w:val="0"/>
          <w:i w:val="0"/>
          <w:sz w:val="24"/>
        </w:rPr>
        <w:t>☐ I have considered commercial, ethical, client-care and reputational risks.</w:t>
      </w:r>
    </w:p>
    <w:p>
      <w:pPr>
        <w:spacing w:after="80" w:before="0" w:line="252" w:lineRule="auto"/>
      </w:pPr>
      <w:r>
        <w:rPr>
          <w:rFonts w:ascii="Calibri" w:hAnsi="Calibri"/>
          <w:b w:val="0"/>
          <w:i w:val="0"/>
          <w:sz w:val="24"/>
        </w:rPr>
        <w:t>☐ I have avoided giving applicable law conclusions without checking the applicable legal framework.</w:t>
      </w:r>
    </w:p>
    <w:p>
      <w:pPr>
        <w:spacing w:after="80" w:before="0" w:line="252" w:lineRule="auto"/>
      </w:pPr>
      <w:r>
        <w:rPr>
          <w:rFonts w:ascii="Calibri" w:hAnsi="Calibri"/>
          <w:b w:val="0"/>
          <w:i w:val="0"/>
          <w:sz w:val="24"/>
        </w:rPr>
        <w:t>☐ I have prepared a concise, practical and professional output.</w:t>
      </w:r>
    </w:p>
    <w:p>
      <w:pPr>
        <w:pStyle w:val="Heading1"/>
        <w:spacing w:before="120" w:after="80"/>
      </w:pPr>
      <w:r>
        <w:rPr>
          <w:rFonts w:ascii="Calibri" w:hAnsi="Calibri"/>
          <w:b/>
          <w:color w:val="1F2F42"/>
          <w:sz w:val="28"/>
        </w:rPr>
        <w:t>Reflection Questions</w:t>
      </w:r>
    </w:p>
    <w:p>
      <w:pPr>
        <w:pStyle w:val="ListBullet"/>
        <w:spacing w:after="40"/>
        <w:ind w:left="288"/>
      </w:pPr>
      <w:r>
        <w:rPr>
          <w:rFonts w:ascii="Calibri" w:hAnsi="Calibri"/>
          <w:sz w:val="24"/>
        </w:rPr>
        <w:t>Which exhibit changed your initial view of the case the most?</w:t>
      </w:r>
    </w:p>
    <w:p>
      <w:pPr>
        <w:pStyle w:val="ListBullet"/>
        <w:spacing w:after="40"/>
        <w:ind w:left="288"/>
      </w:pPr>
      <w:r>
        <w:rPr>
          <w:rFonts w:ascii="Calibri" w:hAnsi="Calibri"/>
          <w:sz w:val="24"/>
        </w:rPr>
        <w:t>Which clause or document was easiest to miss?</w:t>
      </w:r>
    </w:p>
    <w:p>
      <w:pPr>
        <w:pStyle w:val="ListBullet"/>
        <w:spacing w:after="40"/>
        <w:ind w:left="288"/>
      </w:pPr>
      <w:r>
        <w:rPr>
          <w:rFonts w:ascii="Calibri" w:hAnsi="Calibri"/>
          <w:sz w:val="24"/>
        </w:rPr>
        <w:t>What information would you request before advising the client?</w:t>
      </w:r>
    </w:p>
    <w:p>
      <w:pPr>
        <w:pStyle w:val="ListBullet"/>
        <w:spacing w:after="40"/>
        <w:ind w:left="288"/>
      </w:pPr>
      <w:r>
        <w:rPr>
          <w:rFonts w:ascii="Calibri" w:hAnsi="Calibri"/>
          <w:sz w:val="24"/>
        </w:rPr>
        <w:t>What would you escalate to a supervisor and why?</w:t>
      </w:r>
    </w:p>
    <w:p>
      <w:pPr>
        <w:pStyle w:val="ListBullet"/>
        <w:spacing w:after="40"/>
        <w:ind w:left="288"/>
      </w:pPr>
      <w:r>
        <w:rPr>
          <w:rFonts w:ascii="Calibri" w:hAnsi="Calibri"/>
          <w:sz w:val="24"/>
        </w:rPr>
        <w:t>How would your approach change if the client had urgent commercial pressure?</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80" w:before="0" w:line="252" w:lineRule="auto"/>
      </w:pPr>
      <w:r>
        <w:rPr>
          <w:rFonts w:ascii="Calibri" w:hAnsi="Calibri"/>
          <w:b w:val="0"/>
          <w:i/>
          <w:sz w:val="24"/>
        </w:rPr>
        <w:t>LawBridge Practical Skills Course | Case 07 | Student Exhibit Pack v4</w:t>
      </w:r>
    </w:p>
    <w:sectPr w:rsidR="00FC693F" w:rsidRPr="0006063C" w:rsidSect="00034616">
      <w:headerReference w:type="default" r:id="rId9"/>
      <w:footerReference w:type="default" r:id="rId10"/>
      <w:pgSz w:w="12240" w:h="15840"/>
      <w:pgMar w:top="2376" w:right="936" w:bottom="1584" w:left="936" w:header="72" w:footer="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drawing>
        <wp:inline xmlns:a="http://schemas.openxmlformats.org/drawingml/2006/main" xmlns:pic="http://schemas.openxmlformats.org/drawingml/2006/picture">
          <wp:extent cx="6126480" cy="117168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171689"/>
                  </a:xfrm>
                  <a:prstGeom prst="rect"/>
                </pic:spPr>
              </pic:pic>
            </a:graphicData>
          </a:graphic>
        </wp:inline>
      </w:drawing>
    </w:r>
  </w:p>
  <w:p>
    <w:pPr>
      <w:spacing w:before="0" w:after="0"/>
      <w:jc w:val="center"/>
    </w:pPr>
    <w:r>
      <w:rPr>
        <w:rFonts w:ascii="Calibri" w:hAnsi="Calibri" w:eastAsia="Calibri"/>
        <w:sz w:val="14"/>
      </w:rPr>
      <w:t>LD-01 | Legal Drafting | LawBridge Practical Skills Course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drawing>
        <wp:inline xmlns:a="http://schemas.openxmlformats.org/drawingml/2006/main" xmlns:pic="http://schemas.openxmlformats.org/drawingml/2006/picture">
          <wp:extent cx="6126480" cy="12520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252099"/>
                  </a:xfrm>
                  <a:prstGeom prst="rect"/>
                </pic:spPr>
              </pic:pic>
            </a:graphicData>
          </a:graphic>
        </wp:inline>
      </w:drawing>
    </w:r>
  </w:p>
  <w:tbl>
    <w:tblPr>
      <w:tblW w:type="auto" w:w="0"/>
      <w:jc w:val="center"/>
      <w:tblLayout w:type="autofit"/>
      <w:tblLook w:firstColumn="1" w:firstRow="1" w:lastColumn="0" w:lastRow="0" w:noHBand="0" w:noVBand="1" w:val="04A0"/>
    </w:tblPr>
    <w:tblGrid>
      <w:gridCol w:w="9648"/>
    </w:tblGrid>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b/>
              <w:sz w:val="17"/>
            </w:rPr>
            <w:t>LawBridge Practical Skills Course | Worksheet: LD-01 | Skill: Legal Drafting | Student Version | v4</w:t>
          </w:r>
        </w:p>
      </w:tc>
    </w:tr>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sz w:val="15"/>
            </w:rPr>
            <w:t>Scenario: Redrafting a Weak Limitation of Liability Clause | Matter type: Technology services contract drafting | Difficulty: Intermediate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F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F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F4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F4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