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14 | CMA-02</w:t>
      </w:r>
    </w:p>
    <w:p>
      <w:pPr>
        <w:spacing w:after="160"/>
        <w:jc w:val="center"/>
      </w:pPr>
      <w:r>
        <w:rPr>
          <w:rFonts w:ascii="Calibri" w:hAnsi="Calibri"/>
          <w:b/>
          <w:color w:val="1F2F42"/>
          <w:sz w:val="28"/>
        </w:rPr>
        <w:t>Analysing a Blockchain Payment Dispute</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Case and Matter Analysis</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Smart contract and digital payment dispute</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Intermediate to Advanced</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reviewing a digital transaction dispute file</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100-120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Analyse evidence in a technology-driven payment dispute.</w:t>
      </w:r>
    </w:p>
    <w:p>
      <w:pPr>
        <w:pStyle w:val="ListBullet"/>
        <w:spacing w:after="40"/>
        <w:ind w:left="288"/>
      </w:pPr>
      <w:r>
        <w:rPr>
          <w:rFonts w:ascii="Calibri" w:hAnsi="Calibri"/>
          <w:sz w:val="24"/>
        </w:rPr>
        <w:t>Distinguish automated execution from legal responsibility.</w:t>
      </w:r>
    </w:p>
    <w:p>
      <w:pPr>
        <w:pStyle w:val="ListBullet"/>
        <w:spacing w:after="40"/>
        <w:ind w:left="288"/>
      </w:pPr>
      <w:r>
        <w:rPr>
          <w:rFonts w:ascii="Calibri" w:hAnsi="Calibri"/>
          <w:sz w:val="24"/>
        </w:rPr>
        <w:t>Identify evidential gaps, fraud allegations and practical recovery issues.</w:t>
      </w:r>
    </w:p>
    <w:p>
      <w:pPr>
        <w:pStyle w:val="ListBullet"/>
        <w:spacing w:after="40"/>
        <w:ind w:left="288"/>
      </w:pPr>
      <w:r>
        <w:rPr>
          <w:rFonts w:ascii="Calibri" w:hAnsi="Calibri"/>
          <w:sz w:val="24"/>
        </w:rPr>
        <w:t>Prepare a matter strategy note.</w:t>
      </w:r>
    </w:p>
    <w:p>
      <w:pPr>
        <w:pStyle w:val="ListBullet"/>
        <w:spacing w:after="40"/>
        <w:ind w:left="288"/>
      </w:pPr>
      <w:r>
        <w:rPr>
          <w:rFonts w:ascii="Calibri" w:hAnsi="Calibri"/>
          <w:sz w:val="24"/>
        </w:rPr>
        <w:t>Recognise when specialist technical evidence is required.</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smart contract automatically released payment after a delivery trigger. One party says goods were not received; the other says digital delivery occurred. You must analyse the evidence, risks and next steps.</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Matter analysis note</w:t>
            </w:r>
          </w:p>
        </w:tc>
        <w:tc>
          <w:tcPr>
            <w:tcW w:type="dxa" w:w="3456"/>
            <w:vAlign w:val="top"/>
          </w:tcPr>
          <w:p>
            <w:pPr>
              <w:spacing w:after="0" w:before="0"/>
            </w:pPr>
            <w:r>
              <w:rPr>
                <w:rFonts w:ascii="Calibri" w:hAnsi="Calibri"/>
                <w:sz w:val="18"/>
              </w:rPr>
            </w:r>
            <w:r>
              <w:rPr>
                <w:rFonts w:ascii="Calibri" w:hAnsi="Calibri"/>
                <w:b w:val="0"/>
                <w:sz w:val="18"/>
              </w:rPr>
              <w:t>Facts, disputed issues, evidence, legal verification points, commercial risks and next steps.</w:t>
            </w:r>
          </w:p>
        </w:tc>
        <w:tc>
          <w:tcPr>
            <w:tcW w:type="dxa" w:w="3456"/>
            <w:vAlign w:val="top"/>
          </w:tcPr>
          <w:p>
            <w:pPr>
              <w:spacing w:after="0" w:before="0"/>
            </w:pPr>
            <w:r>
              <w:rPr>
                <w:rFonts w:ascii="Calibri" w:hAnsi="Calibri"/>
                <w:sz w:val="18"/>
              </w:rPr>
            </w:r>
            <w:r>
              <w:rPr>
                <w:rFonts w:ascii="Calibri" w:hAnsi="Calibri"/>
                <w:b w:val="0"/>
                <w:sz w:val="18"/>
              </w:rPr>
              <w:t>Must cite exhibits.</w:t>
            </w:r>
          </w:p>
        </w:tc>
      </w:tr>
      <w:tr>
        <w:tc>
          <w:tcPr>
            <w:tcW w:type="dxa" w:w="3456"/>
            <w:vAlign w:val="top"/>
          </w:tcPr>
          <w:p>
            <w:pPr>
              <w:spacing w:after="0" w:before="0"/>
            </w:pPr>
            <w:r>
              <w:rPr>
                <w:rFonts w:ascii="Calibri" w:hAnsi="Calibri"/>
                <w:sz w:val="18"/>
              </w:rPr>
            </w:r>
            <w:r>
              <w:rPr>
                <w:rFonts w:ascii="Calibri" w:hAnsi="Calibri"/>
                <w:b w:val="0"/>
                <w:sz w:val="18"/>
              </w:rPr>
              <w:t>Evidence request list</w:t>
            </w:r>
          </w:p>
        </w:tc>
        <w:tc>
          <w:tcPr>
            <w:tcW w:type="dxa" w:w="3456"/>
            <w:vAlign w:val="top"/>
          </w:tcPr>
          <w:p>
            <w:pPr>
              <w:spacing w:after="0" w:before="0"/>
            </w:pPr>
            <w:r>
              <w:rPr>
                <w:rFonts w:ascii="Calibri" w:hAnsi="Calibri"/>
                <w:sz w:val="18"/>
              </w:rPr>
            </w:r>
            <w:r>
              <w:rPr>
                <w:rFonts w:ascii="Calibri" w:hAnsi="Calibri"/>
                <w:b w:val="0"/>
                <w:sz w:val="18"/>
              </w:rPr>
              <w:t>Blockchain records, platform logs, delivery records, wallet ownership and communications.</w:t>
            </w:r>
          </w:p>
        </w:tc>
        <w:tc>
          <w:tcPr>
            <w:tcW w:type="dxa" w:w="3456"/>
            <w:vAlign w:val="top"/>
          </w:tcPr>
          <w:p>
            <w:pPr>
              <w:spacing w:after="0" w:before="0"/>
            </w:pPr>
            <w:r>
              <w:rPr>
                <w:rFonts w:ascii="Calibri" w:hAnsi="Calibri"/>
                <w:sz w:val="18"/>
              </w:rPr>
            </w:r>
            <w:r>
              <w:rPr>
                <w:rFonts w:ascii="Calibri" w:hAnsi="Calibri"/>
                <w:b w:val="0"/>
                <w:sz w:val="18"/>
              </w:rPr>
              <w:t>Each request must connect to a disputed issue.</w:t>
            </w:r>
          </w:p>
        </w:tc>
      </w:tr>
      <w:tr>
        <w:tc>
          <w:tcPr>
            <w:tcW w:type="dxa" w:w="3456"/>
            <w:vAlign w:val="top"/>
          </w:tcPr>
          <w:p>
            <w:pPr>
              <w:spacing w:after="0" w:before="0"/>
            </w:pPr>
            <w:r>
              <w:rPr>
                <w:rFonts w:ascii="Calibri" w:hAnsi="Calibri"/>
                <w:sz w:val="18"/>
              </w:rPr>
            </w:r>
            <w:r>
              <w:rPr>
                <w:rFonts w:ascii="Calibri" w:hAnsi="Calibri"/>
                <w:b w:val="0"/>
                <w:sz w:val="18"/>
              </w:rPr>
              <w:t>Risk and strategy table</w:t>
            </w:r>
          </w:p>
        </w:tc>
        <w:tc>
          <w:tcPr>
            <w:tcW w:type="dxa" w:w="3456"/>
            <w:vAlign w:val="top"/>
          </w:tcPr>
          <w:p>
            <w:pPr>
              <w:spacing w:after="0" w:before="0"/>
            </w:pPr>
            <w:r>
              <w:rPr>
                <w:rFonts w:ascii="Calibri" w:hAnsi="Calibri"/>
                <w:sz w:val="18"/>
              </w:rPr>
            </w:r>
            <w:r>
              <w:rPr>
                <w:rFonts w:ascii="Calibri" w:hAnsi="Calibri"/>
                <w:b w:val="0"/>
                <w:sz w:val="18"/>
              </w:rPr>
              <w:t>Strengths, weaknesses, recovery options, fraud concerns and escalation.</w:t>
            </w:r>
          </w:p>
        </w:tc>
        <w:tc>
          <w:tcPr>
            <w:tcW w:type="dxa" w:w="3456"/>
            <w:vAlign w:val="top"/>
          </w:tcPr>
          <w:p>
            <w:pPr>
              <w:spacing w:after="0" w:before="0"/>
            </w:pPr>
            <w:r>
              <w:rPr>
                <w:rFonts w:ascii="Calibri" w:hAnsi="Calibri"/>
                <w:sz w:val="18"/>
              </w:rPr>
            </w:r>
            <w:r>
              <w:rPr>
                <w:rFonts w:ascii="Calibri" w:hAnsi="Calibri"/>
                <w:b w:val="0"/>
                <w:sz w:val="18"/>
              </w:rPr>
              <w:t>Must be practical and prioritised.</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Build the transaction chronology.</w:t>
      </w:r>
    </w:p>
    <w:p>
      <w:pPr>
        <w:pStyle w:val="ListNumber"/>
        <w:spacing w:after="40"/>
      </w:pPr>
      <w:r>
        <w:rPr>
          <w:rFonts w:ascii="Calibri" w:hAnsi="Calibri"/>
          <w:sz w:val="24"/>
        </w:rPr>
        <w:t>Identify the trigger for automatic payment release.</w:t>
      </w:r>
    </w:p>
    <w:p>
      <w:pPr>
        <w:pStyle w:val="ListNumber"/>
        <w:spacing w:after="40"/>
      </w:pPr>
      <w:r>
        <w:rPr>
          <w:rFonts w:ascii="Calibri" w:hAnsi="Calibri"/>
          <w:sz w:val="24"/>
        </w:rPr>
        <w:t>Separate blockchain record evidence from off-chain delivery evidence.</w:t>
      </w:r>
    </w:p>
    <w:p>
      <w:pPr>
        <w:pStyle w:val="ListNumber"/>
        <w:spacing w:after="40"/>
      </w:pPr>
      <w:r>
        <w:rPr>
          <w:rFonts w:ascii="Calibri" w:hAnsi="Calibri"/>
          <w:sz w:val="24"/>
        </w:rPr>
        <w:t>Identify each party’s strongest argument.</w:t>
      </w:r>
    </w:p>
    <w:p>
      <w:pPr>
        <w:pStyle w:val="ListNumber"/>
        <w:spacing w:after="40"/>
      </w:pPr>
      <w:r>
        <w:rPr>
          <w:rFonts w:ascii="Calibri" w:hAnsi="Calibri"/>
          <w:sz w:val="24"/>
        </w:rPr>
        <w:t>Identify each party’s weaknesses.</w:t>
      </w:r>
    </w:p>
    <w:p>
      <w:pPr>
        <w:pStyle w:val="ListNumber"/>
        <w:spacing w:after="40"/>
      </w:pPr>
      <w:r>
        <w:rPr>
          <w:rFonts w:ascii="Calibri" w:hAnsi="Calibri"/>
          <w:sz w:val="24"/>
        </w:rPr>
        <w:t>Identify possible fraud, mistake or platform error issues.</w:t>
      </w:r>
    </w:p>
    <w:p>
      <w:pPr>
        <w:pStyle w:val="ListNumber"/>
        <w:spacing w:after="40"/>
      </w:pPr>
      <w:r>
        <w:rPr>
          <w:rFonts w:ascii="Calibri" w:hAnsi="Calibri"/>
          <w:sz w:val="24"/>
        </w:rPr>
        <w:t>Prepare evidence requests.</w:t>
      </w:r>
    </w:p>
    <w:p>
      <w:pPr>
        <w:pStyle w:val="ListNumber"/>
        <w:spacing w:after="40"/>
      </w:pPr>
      <w:r>
        <w:rPr>
          <w:rFonts w:ascii="Calibri" w:hAnsi="Calibri"/>
          <w:sz w:val="24"/>
        </w:rPr>
        <w:t>Identify dispute resolution process and practical enforcement issues.</w:t>
      </w:r>
    </w:p>
    <w:p>
      <w:pPr>
        <w:pStyle w:val="ListNumber"/>
        <w:spacing w:after="40"/>
      </w:pPr>
      <w:r>
        <w:rPr>
          <w:rFonts w:ascii="Calibri" w:hAnsi="Calibri"/>
          <w:sz w:val="24"/>
        </w:rPr>
        <w:t>Prepare a strategy note.</w:t>
      </w:r>
    </w:p>
    <w:p>
      <w:pPr>
        <w:pStyle w:val="ListNumber"/>
        <w:spacing w:after="40"/>
      </w:pPr>
      <w:r>
        <w:rPr>
          <w:rFonts w:ascii="Calibri" w:hAnsi="Calibri"/>
          <w:sz w:val="24"/>
        </w:rPr>
        <w:t>Reflect on whether technical expert input is needed.</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Client Instruction Email</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Smart Contract Summary</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Transaction Log</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Delivery Evidence Bundle</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Platform Terms Extract</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Supplier Response</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r>
        <w:tc>
          <w:tcPr>
            <w:tcW w:type="dxa" w:w="3456"/>
            <w:vAlign w:val="top"/>
          </w:tcPr>
          <w:p>
            <w:pPr>
              <w:spacing w:after="0" w:before="0"/>
            </w:pPr>
            <w:r>
              <w:rPr>
                <w:rFonts w:ascii="Calibri" w:hAnsi="Calibri"/>
                <w:sz w:val="18"/>
              </w:rPr>
            </w:r>
            <w:r>
              <w:rPr>
                <w:rFonts w:ascii="Calibri" w:hAnsi="Calibri"/>
                <w:b w:val="0"/>
                <w:sz w:val="18"/>
              </w:rPr>
              <w:t>7</w:t>
            </w:r>
          </w:p>
        </w:tc>
        <w:tc>
          <w:tcPr>
            <w:tcW w:type="dxa" w:w="3456"/>
            <w:vAlign w:val="top"/>
          </w:tcPr>
          <w:p>
            <w:pPr>
              <w:spacing w:after="0" w:before="0"/>
            </w:pPr>
            <w:r>
              <w:rPr>
                <w:rFonts w:ascii="Calibri" w:hAnsi="Calibri"/>
                <w:sz w:val="18"/>
              </w:rPr>
            </w:r>
            <w:r>
              <w:rPr>
                <w:rFonts w:ascii="Calibri" w:hAnsi="Calibri"/>
                <w:b w:val="0"/>
                <w:sz w:val="18"/>
              </w:rPr>
              <w:t>Commercial Context Note</w:t>
            </w:r>
          </w:p>
        </w:tc>
        <w:tc>
          <w:tcPr>
            <w:tcW w:type="dxa" w:w="3456"/>
            <w:vAlign w:val="top"/>
          </w:tcPr>
          <w:p>
            <w:pPr>
              <w:spacing w:after="0" w:before="0"/>
            </w:pPr>
            <w:r>
              <w:rPr>
                <w:rFonts w:ascii="Calibri" w:hAnsi="Calibri"/>
                <w:sz w:val="18"/>
              </w:rPr>
            </w:r>
            <w:r>
              <w:rPr>
                <w:rFonts w:ascii="Calibri" w:hAnsi="Calibri"/>
                <w:b w:val="0"/>
                <w:sz w:val="18"/>
              </w:rPr>
              <w:t>How should this risk be prioritised in the matter strategy?</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Client Instruction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27 March</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General Counsel, Vertex Trading</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LawBridge Digital Assets Team</w:t>
            </w:r>
          </w:p>
        </w:tc>
      </w:tr>
    </w:tbl>
    <w:p>
      <w:pPr>
        <w:spacing w:after="80" w:before="0" w:line="252" w:lineRule="auto"/>
      </w:pPr>
      <w:r>
        <w:rPr>
          <w:rFonts w:ascii="Calibri" w:hAnsi="Calibri"/>
          <w:b w:val="0"/>
          <w:i w:val="0"/>
          <w:sz w:val="24"/>
        </w:rPr>
        <w:t>A smart contract released 50,000 USDT to a supplier after supposed delivery confirmation. Our operations team says the digital files were never received. The supplier says the ledger proves performance. We need a strategy before escalating the dispute.</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Smart Contract Summary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Platform provider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Functional summary</w:t>
            </w:r>
          </w:p>
        </w:tc>
      </w:tr>
    </w:tbl>
    <w:p>
      <w:pPr>
        <w:spacing w:after="80" w:before="0" w:line="252" w:lineRule="auto"/>
      </w:pPr>
      <w:r>
        <w:rPr>
          <w:rFonts w:ascii="Calibri" w:hAnsi="Calibri"/>
          <w:b w:val="0"/>
          <w:i w:val="0"/>
          <w:sz w:val="24"/>
        </w:rPr>
        <w:t>The escrow releases automatically when the delivery confirmation oracle records status 'delivered'. The smart contract does not verify content quality. Once released, payment cannot be reversed by the platform without agreement of the receiving wallet holder or a binding dispute outcome.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What does the oracle actually verify?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release prove delivery or only trigger status?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remedies are practical?</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Transaction Log</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Source</w:t>
            </w:r>
          </w:p>
        </w:tc>
        <w:tc>
          <w:tcPr>
            <w:tcW w:type="dxa" w:w="5184"/>
            <w:vAlign w:val="top"/>
          </w:tcPr>
          <w:p>
            <w:pPr>
              <w:spacing w:after="0" w:before="0"/>
            </w:pPr>
            <w:r>
              <w:rPr>
                <w:rFonts w:ascii="Calibri" w:hAnsi="Calibri"/>
                <w:sz w:val="21"/>
              </w:rPr>
            </w:r>
            <w:r>
              <w:rPr>
                <w:rFonts w:ascii="Calibri" w:hAnsi="Calibri"/>
                <w:b w:val="0"/>
                <w:sz w:val="21"/>
              </w:rPr>
              <w:t>Blockchain explorer export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Technical record</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Timestamp</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Record</w:t>
            </w:r>
          </w:p>
        </w:tc>
      </w:tr>
      <w:tr>
        <w:tc>
          <w:tcPr>
            <w:tcW w:type="dxa" w:w="3456"/>
            <w:vAlign w:val="top"/>
          </w:tcPr>
          <w:p>
            <w:pPr>
              <w:spacing w:after="0" w:before="0"/>
            </w:pPr>
            <w:r>
              <w:rPr>
                <w:rFonts w:ascii="Calibri" w:hAnsi="Calibri"/>
                <w:sz w:val="18"/>
              </w:rPr>
            </w:r>
            <w:r>
              <w:rPr>
                <w:rFonts w:ascii="Calibri" w:hAnsi="Calibri"/>
                <w:b w:val="0"/>
                <w:sz w:val="18"/>
              </w:rPr>
              <w:t>26 Mar 10:02</w:t>
            </w:r>
          </w:p>
        </w:tc>
        <w:tc>
          <w:tcPr>
            <w:tcW w:type="dxa" w:w="3456"/>
            <w:vAlign w:val="top"/>
          </w:tcPr>
          <w:p>
            <w:pPr>
              <w:spacing w:after="0" w:before="0"/>
            </w:pPr>
            <w:r>
              <w:rPr>
                <w:rFonts w:ascii="Calibri" w:hAnsi="Calibri"/>
                <w:sz w:val="18"/>
              </w:rPr>
            </w:r>
            <w:r>
              <w:rPr>
                <w:rFonts w:ascii="Calibri" w:hAnsi="Calibri"/>
                <w:b w:val="0"/>
                <w:sz w:val="18"/>
              </w:rPr>
              <w:t>Escrow funded</w:t>
            </w:r>
          </w:p>
        </w:tc>
        <w:tc>
          <w:tcPr>
            <w:tcW w:type="dxa" w:w="3456"/>
            <w:vAlign w:val="top"/>
          </w:tcPr>
          <w:p>
            <w:pPr>
              <w:spacing w:after="0" w:before="0"/>
            </w:pPr>
            <w:r>
              <w:rPr>
                <w:rFonts w:ascii="Calibri" w:hAnsi="Calibri"/>
                <w:sz w:val="18"/>
              </w:rPr>
            </w:r>
            <w:r>
              <w:rPr>
                <w:rFonts w:ascii="Calibri" w:hAnsi="Calibri"/>
                <w:b w:val="0"/>
                <w:sz w:val="18"/>
              </w:rPr>
              <w:t>50,000 USDT</w:t>
            </w:r>
          </w:p>
        </w:tc>
      </w:tr>
      <w:tr>
        <w:tc>
          <w:tcPr>
            <w:tcW w:type="dxa" w:w="3456"/>
            <w:vAlign w:val="top"/>
          </w:tcPr>
          <w:p>
            <w:pPr>
              <w:spacing w:after="0" w:before="0"/>
            </w:pPr>
            <w:r>
              <w:rPr>
                <w:rFonts w:ascii="Calibri" w:hAnsi="Calibri"/>
                <w:sz w:val="18"/>
              </w:rPr>
            </w:r>
            <w:r>
              <w:rPr>
                <w:rFonts w:ascii="Calibri" w:hAnsi="Calibri"/>
                <w:b w:val="0"/>
                <w:sz w:val="18"/>
              </w:rPr>
              <w:t>26 Mar 14:18</w:t>
            </w:r>
          </w:p>
        </w:tc>
        <w:tc>
          <w:tcPr>
            <w:tcW w:type="dxa" w:w="3456"/>
            <w:vAlign w:val="top"/>
          </w:tcPr>
          <w:p>
            <w:pPr>
              <w:spacing w:after="0" w:before="0"/>
            </w:pPr>
            <w:r>
              <w:rPr>
                <w:rFonts w:ascii="Calibri" w:hAnsi="Calibri"/>
                <w:sz w:val="18"/>
              </w:rPr>
            </w:r>
            <w:r>
              <w:rPr>
                <w:rFonts w:ascii="Calibri" w:hAnsi="Calibri"/>
                <w:b w:val="0"/>
                <w:sz w:val="18"/>
              </w:rPr>
              <w:t>Oracle update</w:t>
            </w:r>
          </w:p>
        </w:tc>
        <w:tc>
          <w:tcPr>
            <w:tcW w:type="dxa" w:w="3456"/>
            <w:vAlign w:val="top"/>
          </w:tcPr>
          <w:p>
            <w:pPr>
              <w:spacing w:after="0" w:before="0"/>
            </w:pPr>
            <w:r>
              <w:rPr>
                <w:rFonts w:ascii="Calibri" w:hAnsi="Calibri"/>
                <w:sz w:val="18"/>
              </w:rPr>
            </w:r>
            <w:r>
              <w:rPr>
                <w:rFonts w:ascii="Calibri" w:hAnsi="Calibri"/>
                <w:b w:val="0"/>
                <w:sz w:val="18"/>
              </w:rPr>
              <w:t>Status: delivered</w:t>
            </w:r>
          </w:p>
        </w:tc>
      </w:tr>
      <w:tr>
        <w:tc>
          <w:tcPr>
            <w:tcW w:type="dxa" w:w="3456"/>
            <w:vAlign w:val="top"/>
          </w:tcPr>
          <w:p>
            <w:pPr>
              <w:spacing w:after="0" w:before="0"/>
            </w:pPr>
            <w:r>
              <w:rPr>
                <w:rFonts w:ascii="Calibri" w:hAnsi="Calibri"/>
                <w:sz w:val="18"/>
              </w:rPr>
            </w:r>
            <w:r>
              <w:rPr>
                <w:rFonts w:ascii="Calibri" w:hAnsi="Calibri"/>
                <w:b w:val="0"/>
                <w:sz w:val="18"/>
              </w:rPr>
              <w:t>26 Mar 14:19</w:t>
            </w:r>
          </w:p>
        </w:tc>
        <w:tc>
          <w:tcPr>
            <w:tcW w:type="dxa" w:w="3456"/>
            <w:vAlign w:val="top"/>
          </w:tcPr>
          <w:p>
            <w:pPr>
              <w:spacing w:after="0" w:before="0"/>
            </w:pPr>
            <w:r>
              <w:rPr>
                <w:rFonts w:ascii="Calibri" w:hAnsi="Calibri"/>
                <w:sz w:val="18"/>
              </w:rPr>
            </w:r>
            <w:r>
              <w:rPr>
                <w:rFonts w:ascii="Calibri" w:hAnsi="Calibri"/>
                <w:b w:val="0"/>
                <w:sz w:val="18"/>
              </w:rPr>
              <w:t>Release executed</w:t>
            </w:r>
          </w:p>
        </w:tc>
        <w:tc>
          <w:tcPr>
            <w:tcW w:type="dxa" w:w="3456"/>
            <w:vAlign w:val="top"/>
          </w:tcPr>
          <w:p>
            <w:pPr>
              <w:spacing w:after="0" w:before="0"/>
            </w:pPr>
            <w:r>
              <w:rPr>
                <w:rFonts w:ascii="Calibri" w:hAnsi="Calibri"/>
                <w:sz w:val="18"/>
              </w:rPr>
            </w:r>
            <w:r>
              <w:rPr>
                <w:rFonts w:ascii="Calibri" w:hAnsi="Calibri"/>
                <w:b w:val="0"/>
                <w:sz w:val="18"/>
              </w:rPr>
              <w:t>Payment to supplier wallet</w:t>
            </w:r>
          </w:p>
        </w:tc>
      </w:tr>
      <w:tr>
        <w:tc>
          <w:tcPr>
            <w:tcW w:type="dxa" w:w="3456"/>
            <w:vAlign w:val="top"/>
          </w:tcPr>
          <w:p>
            <w:pPr>
              <w:spacing w:after="0" w:before="0"/>
            </w:pPr>
            <w:r>
              <w:rPr>
                <w:rFonts w:ascii="Calibri" w:hAnsi="Calibri"/>
                <w:sz w:val="18"/>
              </w:rPr>
            </w:r>
            <w:r>
              <w:rPr>
                <w:rFonts w:ascii="Calibri" w:hAnsi="Calibri"/>
                <w:b w:val="0"/>
                <w:sz w:val="18"/>
              </w:rPr>
              <w:t>26 Mar 16:40</w:t>
            </w:r>
          </w:p>
        </w:tc>
        <w:tc>
          <w:tcPr>
            <w:tcW w:type="dxa" w:w="3456"/>
            <w:vAlign w:val="top"/>
          </w:tcPr>
          <w:p>
            <w:pPr>
              <w:spacing w:after="0" w:before="0"/>
            </w:pPr>
            <w:r>
              <w:rPr>
                <w:rFonts w:ascii="Calibri" w:hAnsi="Calibri"/>
                <w:sz w:val="18"/>
              </w:rPr>
            </w:r>
            <w:r>
              <w:rPr>
                <w:rFonts w:ascii="Calibri" w:hAnsi="Calibri"/>
                <w:b w:val="0"/>
                <w:sz w:val="18"/>
              </w:rPr>
              <w:t>Dispute raised</w:t>
            </w:r>
          </w:p>
        </w:tc>
        <w:tc>
          <w:tcPr>
            <w:tcW w:type="dxa" w:w="3456"/>
            <w:vAlign w:val="top"/>
          </w:tcPr>
          <w:p>
            <w:pPr>
              <w:spacing w:after="0" w:before="0"/>
            </w:pPr>
            <w:r>
              <w:rPr>
                <w:rFonts w:ascii="Calibri" w:hAnsi="Calibri"/>
                <w:sz w:val="18"/>
              </w:rPr>
            </w:r>
            <w:r>
              <w:rPr>
                <w:rFonts w:ascii="Calibri" w:hAnsi="Calibri"/>
                <w:b w:val="0"/>
                <w:sz w:val="18"/>
              </w:rPr>
              <w:t>Buyer ticket</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Delivery Evidence Bundle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Compiled by</w:t>
            </w:r>
          </w:p>
        </w:tc>
        <w:tc>
          <w:tcPr>
            <w:tcW w:type="dxa" w:w="5184"/>
            <w:vAlign w:val="top"/>
          </w:tcPr>
          <w:p>
            <w:pPr>
              <w:spacing w:after="0" w:before="0"/>
            </w:pPr>
            <w:r>
              <w:rPr>
                <w:rFonts w:ascii="Calibri" w:hAnsi="Calibri"/>
                <w:sz w:val="21"/>
              </w:rPr>
            </w:r>
            <w:r>
              <w:rPr>
                <w:rFonts w:ascii="Calibri" w:hAnsi="Calibri"/>
                <w:b w:val="0"/>
                <w:sz w:val="21"/>
              </w:rPr>
              <w:t>Operations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Mixed evidence</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shows</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Issue</w:t>
            </w:r>
          </w:p>
        </w:tc>
      </w:tr>
      <w:tr>
        <w:tc>
          <w:tcPr>
            <w:tcW w:type="dxa" w:w="3456"/>
            <w:vAlign w:val="top"/>
          </w:tcPr>
          <w:p>
            <w:pPr>
              <w:spacing w:after="0" w:before="0"/>
            </w:pPr>
            <w:r>
              <w:rPr>
                <w:rFonts w:ascii="Calibri" w:hAnsi="Calibri"/>
                <w:sz w:val="18"/>
              </w:rPr>
            </w:r>
            <w:r>
              <w:rPr>
                <w:rFonts w:ascii="Calibri" w:hAnsi="Calibri"/>
                <w:b w:val="0"/>
                <w:sz w:val="18"/>
              </w:rPr>
              <w:t>Supplier email</w:t>
            </w:r>
          </w:p>
        </w:tc>
        <w:tc>
          <w:tcPr>
            <w:tcW w:type="dxa" w:w="3456"/>
            <w:vAlign w:val="top"/>
          </w:tcPr>
          <w:p>
            <w:pPr>
              <w:spacing w:after="0" w:before="0"/>
            </w:pPr>
            <w:r>
              <w:rPr>
                <w:rFonts w:ascii="Calibri" w:hAnsi="Calibri"/>
                <w:sz w:val="18"/>
              </w:rPr>
            </w:r>
            <w:r>
              <w:rPr>
                <w:rFonts w:ascii="Calibri" w:hAnsi="Calibri"/>
                <w:b w:val="0"/>
                <w:sz w:val="18"/>
              </w:rPr>
              <w:t>Download link sent</w:t>
            </w:r>
          </w:p>
        </w:tc>
        <w:tc>
          <w:tcPr>
            <w:tcW w:type="dxa" w:w="3456"/>
            <w:vAlign w:val="top"/>
          </w:tcPr>
          <w:p>
            <w:pPr>
              <w:spacing w:after="0" w:before="0"/>
            </w:pPr>
            <w:r>
              <w:rPr>
                <w:rFonts w:ascii="Calibri" w:hAnsi="Calibri"/>
                <w:sz w:val="18"/>
              </w:rPr>
            </w:r>
            <w:r>
              <w:rPr>
                <w:rFonts w:ascii="Calibri" w:hAnsi="Calibri"/>
                <w:b w:val="0"/>
                <w:sz w:val="18"/>
              </w:rPr>
              <w:t>Link expired by review date</w:t>
            </w:r>
          </w:p>
        </w:tc>
      </w:tr>
      <w:tr>
        <w:tc>
          <w:tcPr>
            <w:tcW w:type="dxa" w:w="3456"/>
            <w:vAlign w:val="top"/>
          </w:tcPr>
          <w:p>
            <w:pPr>
              <w:spacing w:after="0" w:before="0"/>
            </w:pPr>
            <w:r>
              <w:rPr>
                <w:rFonts w:ascii="Calibri" w:hAnsi="Calibri"/>
                <w:sz w:val="18"/>
              </w:rPr>
            </w:r>
            <w:r>
              <w:rPr>
                <w:rFonts w:ascii="Calibri" w:hAnsi="Calibri"/>
                <w:b w:val="0"/>
                <w:sz w:val="18"/>
              </w:rPr>
              <w:t>Server log</w:t>
            </w:r>
          </w:p>
        </w:tc>
        <w:tc>
          <w:tcPr>
            <w:tcW w:type="dxa" w:w="3456"/>
            <w:vAlign w:val="top"/>
          </w:tcPr>
          <w:p>
            <w:pPr>
              <w:spacing w:after="0" w:before="0"/>
            </w:pPr>
            <w:r>
              <w:rPr>
                <w:rFonts w:ascii="Calibri" w:hAnsi="Calibri"/>
                <w:sz w:val="18"/>
              </w:rPr>
            </w:r>
            <w:r>
              <w:rPr>
                <w:rFonts w:ascii="Calibri" w:hAnsi="Calibri"/>
                <w:b w:val="0"/>
                <w:sz w:val="18"/>
              </w:rPr>
              <w:t>No successful download by buyer IP</w:t>
            </w:r>
          </w:p>
        </w:tc>
        <w:tc>
          <w:tcPr>
            <w:tcW w:type="dxa" w:w="3456"/>
            <w:vAlign w:val="top"/>
          </w:tcPr>
          <w:p>
            <w:pPr>
              <w:spacing w:after="0" w:before="0"/>
            </w:pPr>
            <w:r>
              <w:rPr>
                <w:rFonts w:ascii="Calibri" w:hAnsi="Calibri"/>
                <w:sz w:val="18"/>
              </w:rPr>
            </w:r>
            <w:r>
              <w:rPr>
                <w:rFonts w:ascii="Calibri" w:hAnsi="Calibri"/>
                <w:b w:val="0"/>
                <w:sz w:val="18"/>
              </w:rPr>
              <w:t>IP mapping uncertain</w:t>
            </w:r>
          </w:p>
        </w:tc>
      </w:tr>
      <w:tr>
        <w:tc>
          <w:tcPr>
            <w:tcW w:type="dxa" w:w="3456"/>
            <w:vAlign w:val="top"/>
          </w:tcPr>
          <w:p>
            <w:pPr>
              <w:spacing w:after="0" w:before="0"/>
            </w:pPr>
            <w:r>
              <w:rPr>
                <w:rFonts w:ascii="Calibri" w:hAnsi="Calibri"/>
                <w:sz w:val="18"/>
              </w:rPr>
            </w:r>
            <w:r>
              <w:rPr>
                <w:rFonts w:ascii="Calibri" w:hAnsi="Calibri"/>
                <w:b w:val="0"/>
                <w:sz w:val="18"/>
              </w:rPr>
              <w:t>Buyer ticket</w:t>
            </w:r>
          </w:p>
        </w:tc>
        <w:tc>
          <w:tcPr>
            <w:tcW w:type="dxa" w:w="3456"/>
            <w:vAlign w:val="top"/>
          </w:tcPr>
          <w:p>
            <w:pPr>
              <w:spacing w:after="0" w:before="0"/>
            </w:pPr>
            <w:r>
              <w:rPr>
                <w:rFonts w:ascii="Calibri" w:hAnsi="Calibri"/>
                <w:sz w:val="18"/>
              </w:rPr>
            </w:r>
            <w:r>
              <w:rPr>
                <w:rFonts w:ascii="Calibri" w:hAnsi="Calibri"/>
                <w:b w:val="0"/>
                <w:sz w:val="18"/>
              </w:rPr>
              <w:t>Access denied message</w:t>
            </w:r>
          </w:p>
        </w:tc>
        <w:tc>
          <w:tcPr>
            <w:tcW w:type="dxa" w:w="3456"/>
            <w:vAlign w:val="top"/>
          </w:tcPr>
          <w:p>
            <w:pPr>
              <w:spacing w:after="0" w:before="0"/>
            </w:pPr>
            <w:r>
              <w:rPr>
                <w:rFonts w:ascii="Calibri" w:hAnsi="Calibri"/>
                <w:sz w:val="18"/>
              </w:rPr>
            </w:r>
            <w:r>
              <w:rPr>
                <w:rFonts w:ascii="Calibri" w:hAnsi="Calibri"/>
                <w:b w:val="0"/>
                <w:sz w:val="18"/>
              </w:rPr>
              <w:t>Screenshot cropped</w:t>
            </w:r>
          </w:p>
        </w:tc>
      </w:tr>
      <w:tr>
        <w:tc>
          <w:tcPr>
            <w:tcW w:type="dxa" w:w="3456"/>
            <w:vAlign w:val="top"/>
          </w:tcPr>
          <w:p>
            <w:pPr>
              <w:spacing w:after="0" w:before="0"/>
            </w:pPr>
            <w:r>
              <w:rPr>
                <w:rFonts w:ascii="Calibri" w:hAnsi="Calibri"/>
                <w:sz w:val="18"/>
              </w:rPr>
            </w:r>
            <w:r>
              <w:rPr>
                <w:rFonts w:ascii="Calibri" w:hAnsi="Calibri"/>
                <w:b w:val="0"/>
                <w:sz w:val="18"/>
              </w:rPr>
              <w:t>Supplier confirmation</w:t>
            </w:r>
          </w:p>
        </w:tc>
        <w:tc>
          <w:tcPr>
            <w:tcW w:type="dxa" w:w="3456"/>
            <w:vAlign w:val="top"/>
          </w:tcPr>
          <w:p>
            <w:pPr>
              <w:spacing w:after="0" w:before="0"/>
            </w:pPr>
            <w:r>
              <w:rPr>
                <w:rFonts w:ascii="Calibri" w:hAnsi="Calibri"/>
                <w:sz w:val="18"/>
              </w:rPr>
            </w:r>
            <w:r>
              <w:rPr>
                <w:rFonts w:ascii="Calibri" w:hAnsi="Calibri"/>
                <w:b w:val="0"/>
                <w:sz w:val="18"/>
              </w:rPr>
              <w:t>Files uploaded to portal</w:t>
            </w:r>
          </w:p>
        </w:tc>
        <w:tc>
          <w:tcPr>
            <w:tcW w:type="dxa" w:w="3456"/>
            <w:vAlign w:val="top"/>
          </w:tcPr>
          <w:p>
            <w:pPr>
              <w:spacing w:after="0" w:before="0"/>
            </w:pPr>
            <w:r>
              <w:rPr>
                <w:rFonts w:ascii="Calibri" w:hAnsi="Calibri"/>
                <w:sz w:val="18"/>
              </w:rPr>
            </w:r>
            <w:r>
              <w:rPr>
                <w:rFonts w:ascii="Calibri" w:hAnsi="Calibri"/>
                <w:b w:val="0"/>
                <w:sz w:val="18"/>
              </w:rPr>
              <w:t>No file hash supplied</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Platform Terms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Exchange and escrow terms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Relevant extract</w:t>
            </w:r>
          </w:p>
        </w:tc>
      </w:tr>
    </w:tbl>
    <w:p>
      <w:pPr>
        <w:spacing w:after="80" w:before="0" w:line="252" w:lineRule="auto"/>
      </w:pPr>
      <w:r>
        <w:rPr>
          <w:rFonts w:ascii="Calibri" w:hAnsi="Calibri"/>
          <w:b w:val="0"/>
          <w:i w:val="0"/>
          <w:sz w:val="24"/>
        </w:rPr>
        <w:t>Transactions are final once smart contract execution is complete, except where fraud, manifest error or binding dispute decision requires remedial action. Disputes are subject to the agreed dispute process stated in the transaction confirmation.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What counts as manifest error?</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dispute process applies?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Can fraud be evidenced?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Supplier Response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27 March</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Supplier representative</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Dispute reply</w:t>
            </w:r>
          </w:p>
        </w:tc>
      </w:tr>
    </w:tbl>
    <w:p>
      <w:pPr>
        <w:spacing w:after="80" w:before="0" w:line="252" w:lineRule="auto"/>
      </w:pPr>
      <w:r>
        <w:rPr>
          <w:rFonts w:ascii="Calibri" w:hAnsi="Calibri"/>
          <w:b w:val="0"/>
          <w:i w:val="0"/>
          <w:sz w:val="24"/>
        </w:rPr>
        <w:t>Delivery was completed. The buyer’s failure to download within the available window is not our responsibility. The blockchain record and oracle confirmation establish that the escrow release was valid.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Does this answer whether goods were usable?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prove the correct files were delivered?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rely too heavily on ledger finality?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7: Commercial Context Note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Client business lead</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Internal</w:t>
            </w:r>
          </w:p>
        </w:tc>
      </w:tr>
    </w:tbl>
    <w:p>
      <w:pPr>
        <w:pStyle w:val="ListBullet"/>
        <w:spacing w:after="40"/>
        <w:ind w:left="288"/>
      </w:pPr>
      <w:r>
        <w:rPr>
          <w:rFonts w:ascii="Calibri" w:hAnsi="Calibri"/>
          <w:sz w:val="24"/>
        </w:rPr>
        <w:t>The client needs the software files for a customer deadline in seven days.</w:t>
      </w:r>
    </w:p>
    <w:p>
      <w:pPr>
        <w:pStyle w:val="ListBullet"/>
        <w:spacing w:after="40"/>
        <w:ind w:left="288"/>
      </w:pPr>
      <w:r>
        <w:rPr>
          <w:rFonts w:ascii="Calibri" w:hAnsi="Calibri"/>
          <w:sz w:val="24"/>
        </w:rPr>
        <w:t>The supplier may be in another jurisdiction and wallet ownership is unclear.</w:t>
      </w:r>
    </w:p>
    <w:p>
      <w:pPr>
        <w:pStyle w:val="ListBullet"/>
        <w:spacing w:after="40"/>
        <w:ind w:left="288"/>
      </w:pPr>
      <w:r>
        <w:rPr>
          <w:rFonts w:ascii="Calibri" w:hAnsi="Calibri"/>
          <w:sz w:val="24"/>
        </w:rPr>
        <w:t>Client prefers rapid negotiated access to files over a long dispute if possible.</w:t>
      </w:r>
    </w:p>
    <w:p>
      <w:pPr>
        <w:pStyle w:val="ListBullet"/>
        <w:spacing w:after="40"/>
        <w:ind w:left="288"/>
      </w:pPr>
      <w:r>
        <w:rPr>
          <w:rFonts w:ascii="Calibri" w:hAnsi="Calibri"/>
          <w:sz w:val="24"/>
        </w:rPr>
        <w:t>Reputational risk exists if the customer learns payment was released without delivery.</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14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CMA-02 | Case and Matter Analysis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CMA-02 | Skill: Case and Matter Analysis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Analysing a Blockchain Payment Dispute | Matter type: Smart contract and digital payment dispute | Difficulty: Intermediate to Advanced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