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02 | PS-CC-02</w:t>
        <w:br/>
        <w:t>The Dissatisfied Client After a Missed Call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Care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Consumer complaint and service recovery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preparing a client care response and call plan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65-80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Respond to dissatisfaction without becoming defensive.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call plan that rebuilds trust.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Check contact details and communication preferences.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Record a client care issue accurately.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Escalate concerns where needed.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client, Daniel, expected a call about his housing repair complaint. The call did not happen because the team had the wrong phone number. Daniel is upset and says he no longer trusts the process.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Call plan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Opening, acknowledgement, facts to check, next steps and closing summary.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respectful and structured.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Follow-up email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Confirm what was discussed and the next contact date.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plain English.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care record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happened, impact, action taken and escalation if needed.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neutral.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what caused the service issue.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Draft a respectful opening for the call.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List questions to confirm the client's preferred contact method.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Prepare wording that acknowledges frustration without blaming colleagues.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Explain how you would confirm next steps after the call.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Decide whether the matter needs escalation.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7. Reflect on how cultural and language differences may affect communication preferences.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Client voicemail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Daniel says: 'I waited all afternoon. Nobody called. I cannot keep taking time off work for this.'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Contact details form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Phone number typed as 07700 900123. Client email later shows 07700 900132.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Case diary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Call listed for Tuesday at 2pm. No successful call recorded.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Team message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colleague says they tried once and moved on to another deadline.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Client preference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works shifts and prefers text or email before calls.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PS-CC-02 | Client Care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