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Practical Skills Course</w:t>
        <w:br/>
        <w:t>Case Simulation 17 | CLA-01</w:t>
        <w:br/>
        <w:t>Assessing a Retail Data Partnership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Commercial Legal Analysis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Retail data collaboration and commercial risk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Intermediate to Advanced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Junior lawyer preparing a commercial legal risk note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95-115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Analyse a commercial opportunity through legal risk.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business value from legal uncertainty.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Identify data, brand, operational and exit risks.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risk note for a non-lawyer decision-maker.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Recommend next steps without blocking the business unnecessarily.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retail client wants to share customer insight data with a loyalty app partner. The business sees marketing value, but the file raises data, reputation, control and termination concerns.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Commercial legal risk note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Opportunity, risks, controls, open questions and recommendation.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practical and business-facing.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heatmap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Risk, likelihood, impact, owner and mitigation.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prioritise.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information request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Questions needed before legal advice can be finalised.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Each question must explain why it matters.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the business objective behind the partnership.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List the main legal and commercial risks.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Separate confirmed facts from assumptions.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Identify data categories and customer communication issues.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Assess reputational risk and brand control.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Recommend controls before launch.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7. Prepare open questions for marketing, product and data teams.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8. Draft a short board-friendly summary.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9. Reflect on how a lawyer can support innovation without saying yes or no too quickly.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Board Instruction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The board wants a one-page risk view before approving the partnership.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Partnership Summary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Partner will analyse loyalty trends and send targeted offers through the app.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Data Flow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Data includes purchase history, location category and loyalty status. Direct identifiers should be removed before transfer.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Marketing Slide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Marketing expects a 12% uplift but has not tested opt-out wording.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Partner Terms Extract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Partner may use aggregated insights to improve its services.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6: Customer Trust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Recent press criticism has focused on retailers using customer data without clear explanations.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CLA-01 | Commercial Legal Analysis | LawBridge Practical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