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</w:pPr>
      <w:r>
        <w:rPr>
          <w:rFonts w:ascii="Calibri" w:hAnsi="Calibri" w:eastAsia="Calibri"/>
          <w:b/>
          <w:sz w:val="28"/>
        </w:rPr>
        <w:t>LawBridge Practical Skills Course</w:t>
        <w:br/>
        <w:t>Case Simulation 20 | DR-02</w:t>
        <w:br/>
        <w:t>Reviewing a Settlement Pack Before Signature</w:t>
      </w:r>
    </w:p>
    <w:p>
      <w:pPr>
        <w:spacing w:after="120"/>
      </w:pPr>
      <w:r>
        <w:rPr>
          <w:rFonts w:ascii="Calibri" w:hAnsi="Calibri" w:eastAsia="Calibri"/>
          <w:i/>
          <w:sz w:val="24"/>
        </w:rPr>
        <w:t>Detailed Exhibit Pack and Practice Tasks | Student Pack | v1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2736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Field</w:t>
            </w:r>
          </w:p>
        </w:tc>
        <w:tc>
          <w:tcPr>
            <w:tcW w:type="dxa" w:w="6912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Details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Skill focus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Document Review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Matter type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Commercial dispute settlement document review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Difficulty level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Foundation to Intermediate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Student role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Junior lawyer checking settlement documents before client signature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Recommended time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85-105 minutes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Applicable legal framework note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Framework-neutral. Identify points that require legal verification; do not assume a specific jurisdiction.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Version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v1 - accessible plain-English LawBridge training pack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Important disclaimer</w:t>
            </w:r>
          </w:p>
        </w:tc>
      </w:tr>
      <w:tr>
        <w:tc>
          <w:tcPr>
            <w:tcW w:type="dxa" w:w="10282"/>
          </w:tcPr>
          <w:p>
            <w:pPr>
              <w:spacing w:after="0" w:before="0"/>
            </w:pPr>
            <w:r>
              <w:rPr>
                <w:sz w:val="21"/>
              </w:rPr>
            </w:r>
            <w:r>
              <w:rPr>
                <w:rFonts w:ascii="Calibri" w:hAnsi="Calibri" w:eastAsia="Calibri"/>
                <w:b w:val="0"/>
                <w:sz w:val="21"/>
              </w:rPr>
              <w:t>Educational and training use only. This pack is not legal advice. It is not intended as a guide to any particular jurisdiction, legal system, regulator, court, firm policy or client matter. The scenario is fictional and framework-neutral. Students must not rely on this material to advise real clients. Any real legal issue must be checked against the applicable law, professional rules and supervisor guidance.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DE7DF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Accessibility and plain English note</w:t>
            </w:r>
          </w:p>
        </w:tc>
      </w:tr>
      <w:tr>
        <w:tc>
          <w:tcPr>
            <w:tcW w:type="dxa" w:w="10282"/>
          </w:tcPr>
          <w:p>
            <w:pPr>
              <w:spacing w:after="0" w:before="0"/>
            </w:pPr>
            <w:r>
              <w:rPr>
                <w:sz w:val="21"/>
              </w:rPr>
            </w:r>
            <w:r>
              <w:rPr>
                <w:rFonts w:ascii="Calibri" w:hAnsi="Calibri" w:eastAsia="Calibri"/>
                <w:b w:val="0"/>
                <w:sz w:val="21"/>
              </w:rPr>
              <w:t>This pack uses plain English and practical examples. Students may answer in clear, simple language. The aim is professional judgment, structure and evidence use, not complicated vocabulary.</w:t>
            </w:r>
          </w:p>
        </w:tc>
      </w:tr>
    </w:tbl>
    <w:p/>
    <w:p>
      <w:pPr>
        <w:spacing w:before="160" w:after="60"/>
      </w:pPr>
      <w:r>
        <w:rPr>
          <w:rFonts w:ascii="Calibri" w:hAnsi="Calibri" w:eastAsia="Calibri"/>
          <w:b/>
          <w:sz w:val="28"/>
        </w:rPr>
        <w:t>How to Use This Simulation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Read the scenario and exhibits as if this is a training file, not a real client matter.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Do not rely on headings as the answer. Extract the important facts, risks and missing information yourself.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Use short, clear sentences. Plain English is preferred.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Separate what is known, what is assumed, what is disputed and what still needs checking.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Prepare a practical output for a supervisor, client or mentor using only the information in the file.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Do not give a final legal conclusion without checking the applicable legal framework.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Learning Outcomes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Review signature documents carefully.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Check parties, dates, payment terms and conditions.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Identify ambiguity in settlement obligations.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Spot confidentiality and release issues.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Prepare a practical pre-signature checklist.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Student Task Brief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A small business is about to sign a settlement agreement after a service dispute. The client wants a quick check of the draft agreement, payment schedule and confidentiality wording.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Required Submission Bundle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2448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Output</w:t>
            </w:r>
          </w:p>
        </w:tc>
        <w:tc>
          <w:tcPr>
            <w:tcW w:type="dxa" w:w="4608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What it must include</w:t>
            </w:r>
          </w:p>
        </w:tc>
        <w:tc>
          <w:tcPr>
            <w:tcW w:type="dxa" w:w="2880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Evidence standard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Pre-signature review checklist</w:t>
            </w:r>
          </w:p>
        </w:tc>
        <w:tc>
          <w:tcPr>
            <w:tcW w:type="dxa" w:w="460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Parties, dates, payment, obligations, release, confidentiality and signature blocks.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Must be systematic.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Issue list for supervisor</w:t>
            </w:r>
          </w:p>
        </w:tc>
        <w:tc>
          <w:tcPr>
            <w:tcW w:type="dxa" w:w="460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Red flags and questions before signature.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Must be concise.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Client clarification questions</w:t>
            </w:r>
          </w:p>
        </w:tc>
        <w:tc>
          <w:tcPr>
            <w:tcW w:type="dxa" w:w="460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Plain English questions for the client.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Must not give final advice without approval.</w:t>
            </w:r>
          </w:p>
        </w:tc>
      </w:tr>
    </w:tbl>
    <w:p/>
    <w:p>
      <w:pPr>
        <w:spacing w:before="160" w:after="60"/>
      </w:pPr>
      <w:r>
        <w:rPr>
          <w:rFonts w:ascii="Calibri" w:hAnsi="Calibri" w:eastAsia="Calibri"/>
          <w:b/>
          <w:sz w:val="28"/>
        </w:rPr>
        <w:t>Detailed Practice Tasks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1. Check the parties and defined terms.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2. Review payment amount, due date and bank details.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3. Identify conditions before settlement becomes binding.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4. Review release wording and confidentiality wording.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5. Check signature blocks and authority questions.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6. Identify inconsistent dates or amounts.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7. Prepare a supervisor issue list.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8. Prepare client clarification questions.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9. Reflect on why small drafting details can have commercial impact.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Exhibit Pack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Read the exhibits carefully. They are fictional training materials. Do not treat them as complete facts or legal advice.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Exhibit 1: Supervisor Instruction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Review for obvious red flags before the client signs tomorrow.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Student extraction notes: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Exhibit 2: Settlement Agreement Extract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Payment of £14,500 within 14 days. Release wording refers to 'all claims whether known or unknown'.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Student extraction notes: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Exhibit 3: Payment Schedule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Schedule says first instalment due in 7 days and balance in 30 days.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Student extraction notes: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Exhibit 4: Confidentiality Clause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Client must not discuss the settlement with anyone except professional advisers.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Student extraction notes: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Exhibit 5: Company Information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Client is Northgate Foods Ltd. Draft signature block says Northgate Food Limited.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Student extraction notes: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Exhibit 6: Client Email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Client wants to tell their business partner and accountant about the settlement.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Student extraction notes: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Final Student Submission Checklist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☐ I have used plain English and avoided unnecessary jargon.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☐ I have identified relevant facts and documents.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☐ I have separated confirmed facts from assumptions, disputes and missing information.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☐ I have considered client care, professionalism and commercial context where relevant.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☐ I have avoided giving jurisdiction-specific legal advice.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☐ I have prepared a concise, practical and professional output.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Reflection Questions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What fact changed your view of the scenario the most?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What information would you ask for before giving advice or taking action?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What would you escalate to a supervisor and why?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How did you keep your language accessible for a diverse audience?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What would you do differently next time?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jc w:val="center"/>
      </w:pPr>
      <w:r>
        <w:rPr>
          <w:i/>
          <w:sz w:val="18"/>
        </w:rPr>
        <w:t>DR-02 | Document Review | LawBridge Practical Skills Course | Student Pack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699" w:right="979" w:bottom="1224" w:left="979" w:header="115" w:footer="11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drawing>
        <wp:inline xmlns:a="http://schemas.openxmlformats.org/drawingml/2006/main" xmlns:pic="http://schemas.openxmlformats.org/drawingml/2006/picture">
          <wp:extent cx="6400800" cy="120243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awbridge_footer_smal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00800" cy="1202436"/>
                  </a:xfrm>
                  <a:prstGeom prst="rect"/>
                </pic:spPr>
              </pic:pic>
            </a:graphicData>
          </a:graphic>
        </wp:inline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6400800" cy="163220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awbridge_header_smal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00800" cy="1632204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F2F2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F2F2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2F2F2F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Calibri" w:hAnsi="Calibri" w:eastAsia="Calibri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