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2F42"/>
          <w:sz w:val="28"/>
        </w:rPr>
        <w:t>LawBridge Practical Skills Course</w:t>
      </w:r>
    </w:p>
    <w:p>
      <w:pPr>
        <w:spacing w:after="80"/>
        <w:jc w:val="center"/>
      </w:pPr>
      <w:r>
        <w:rPr>
          <w:rFonts w:ascii="Calibri" w:hAnsi="Calibri"/>
          <w:b/>
          <w:color w:val="1F2F42"/>
          <w:sz w:val="28"/>
        </w:rPr>
        <w:t>Case Simulation 12 | LR-02</w:t>
      </w:r>
    </w:p>
    <w:p>
      <w:pPr>
        <w:spacing w:after="160"/>
        <w:jc w:val="center"/>
      </w:pPr>
      <w:r>
        <w:rPr>
          <w:rFonts w:ascii="Calibri" w:hAnsi="Calibri"/>
          <w:b/>
          <w:color w:val="1F2F42"/>
          <w:sz w:val="28"/>
        </w:rPr>
        <w:t>Researching Market Entry Rules for a Digital Payments Business</w:t>
      </w:r>
    </w:p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Detailed Exhibit Pack and Practice Tasks | Student Version | v4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Skill focus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Legal Research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Matter type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FinTech licensing and regulatory research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Difficulty level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Student role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Junior lawyer preparing a regulatory research note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Recommended time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95-120 minutes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Applicable Legal Framework note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This simulation is applicable legal framework-neutral. Students should identify points that require applicable legal verification rather than assuming a specific legal system.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Version</w:t>
            </w:r>
          </w:p>
        </w:tc>
        <w:tc>
          <w:tcPr>
            <w:tcW w:type="dxa" w:w="5184"/>
            <w:vAlign w:val="top"/>
          </w:tcPr>
          <w:p>
            <w:r>
              <w:t>v4 - letterhead and skill-labelled running header added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How to Use This Simulation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Read the exhibits as if this is a live matter file.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Do not rely on the exhibit index as a summary of the issues.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Extract the relevant clauses, dates, facts, figures, obligations, deadlines and missing information yourself.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Record where each point appears, using exhibit labels and clause numbers where available.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Separate what is known from what is assumed, disputed or missing.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Prepare a practical output for a supervisor or client using only the evidence in the file.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Learning Outcomes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Turn a commercial expansion plan into legal research questions.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Identify licensing, local presence, compliance, consumer and data issues.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Prepare a practical research output for a supervisor.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Flag uncertainty and information needed from the client.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Prioritise launch-blocking risks.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Student Task Brief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A digital payments company wants to launch mobile wallet and merchant payment gateway services in a new market. You must prepare a research plan and preliminary legal research note that identifies regulatory questions and evidence gaps.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Student Practice Tasks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Complete the following practice tasks as a trainee-style matter file review. Your answers must cite the relevant exhibit, clause, date, email, log entry or policy wording. Do not give broad commentary where a specific document reference is available.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Required Submission Bundle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Output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What it must include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standard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Regulatory research plan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Licensing questions, sources, assumptions, priority and missing facts.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Must be jurisdiction-verification neutral.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Preliminary launch risk note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Launch blockers, compliance workstreams and commercial impact.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Must separate legal research from business assumptions.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Client information request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Facts needed about services, money flow, customers, partners and data.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Each question must explain its purpose.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Detailed Practice Tasks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the proposed services and money flow.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Frame the licensing research questions.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local presence and capital requirement questions.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AML, sanctions, consumer and complaints issues.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Identify data storage and outsourcing questions.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a research source plan.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Create a launch-blocker risk table.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Draft client information requests.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Prepare a supervisor update.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Reflect on what could make the launch unlawful or delayed.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Working Method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Start with the exhibit index, but do not treat it as a summary of the answer.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Mark every clause, date, figure and disputed factual point that affects advice or drafting.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Separate confirmed facts, disputed facts, assumptions, missing information and legal points requiring further checking.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Keep supervisor-facing outputs concise: lead with the practical risk, then the evidence, then the next step.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Exhibit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Document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What students must decide for themselves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Founder Expansion Email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Business Model Summary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Proposed Operating Model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Compliance Readiness Checklist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Launch Timeline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Supervisor Research Guidance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What legal framework or source needs checking before advice?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Clause and Fact Extraction Grid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Item to extract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Exhibit / clause / page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Why it matters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Action or follow-up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Risk and Action Grid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Risk category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Evidence found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Severity</w:t>
            </w:r>
          </w:p>
        </w:tc>
        <w:tc>
          <w:tcPr>
            <w:tcW w:type="dxa" w:w="2592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9"/>
              </w:rPr>
            </w:r>
            <w:r>
              <w:rPr>
                <w:rFonts w:ascii="Calibri" w:hAnsi="Calibri"/>
                <w:b/>
                <w:color w:val="1F2F42"/>
                <w:sz w:val="19"/>
              </w:rPr>
              <w:t>Recommended response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Legal / contractual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Commercial / financial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Operational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Reputational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Ethics / professional judgment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Evidence gaps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Timing / deadline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1: Founder Expansion Email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Date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21 February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From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CEO, SwiftPay Global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To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LawBridge FinTech Team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We want to launch a mobile wallet, merchant payment gateway and cross-border transfers in a new market within six months. Can we operate through our existing foreign company at first and appoint local agents later?</w:t>
      </w:r>
    </w:p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2: Business Model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Product team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Pitch deck extract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Product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Function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Research issue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Mobile wallet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Users store value and pay merchants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Stored value/licensing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Merchant gateway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Processes card and alternative payments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Payment service provider rules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Cross-border transfers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Transfers to family abroad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Remittance/AML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API for platforms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Embedded payment functionality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Outsourcing/agent model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3: Proposed Operating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Operations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Draft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Customer funds would be received into pooled accounts held by a banking partner. SwiftPay would control the app, customer onboarding, transaction monitoring and merchant dashboard. Customer support may be outsourced.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Check item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Evidence in exhibit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Student note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Who holds funds?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Who contracts with customers?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Who performs onboarding?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Who controls complaints and refunds?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4: Compliance Readiness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Compliance manager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Self-assessment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Area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Current state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Research implication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AML policy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Group policy exists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Local tailoring required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Sanctions screening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Vendor tool available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Coverage and legal standard check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Consumer terms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Template only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Local mandatory wording check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Data hosting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Regional cloud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Localisation/transfer check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Complaints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Email inbox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Regulatory process check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5: Launch Timeline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CEO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Commercial target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Date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Milestone</w:t>
            </w:r>
          </w:p>
        </w:tc>
        <w:tc>
          <w:tcPr>
            <w:tcW w:type="dxa" w:w="3456"/>
            <w:shd w:fill="E9EEF3"/>
            <w:vAlign w:val="top"/>
            <w:shd w:fill="E9EE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2F42"/>
                <w:sz w:val="18"/>
              </w:rPr>
            </w:r>
            <w:r>
              <w:rPr>
                <w:rFonts w:ascii="Calibri" w:hAnsi="Calibri"/>
                <w:b/>
                <w:color w:val="1F2F42"/>
                <w:sz w:val="18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Month 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Announce market entry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Premature if licence required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Month 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Onboard pilot merchants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May be regulated activity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Month 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Public beta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Consumer protection exposure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Month 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Full launch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Regulatory approval dependency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Exhibit 6: Supervisor Research Guidance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From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Regulatory Partner</w:t>
            </w:r>
          </w:p>
        </w:tc>
      </w:tr>
      <w:tr>
        <w:tc>
          <w:tcPr>
            <w:tcW w:type="dxa" w:w="5184"/>
            <w:shd w:fill="E9EEF3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1F2F42"/>
                <w:sz w:val="21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 w:val="0"/>
                <w:sz w:val="21"/>
              </w:rPr>
              <w:t>Research scope</w:t>
            </w:r>
          </w:p>
        </w:tc>
      </w:tr>
    </w:tbl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Focus on whether the proposed model triggers licensing, whether a local entity or partner is required, what pre-launch approvals may be needed, and what facts we need to classify the services correctly. Do not assume a specific country until the client confirms target market.</w:t>
      </w:r>
    </w:p>
    <w:p>
      <w:pPr>
        <w:spacing w:after="80" w:before="0" w:line="252" w:lineRule="auto"/>
      </w:pPr>
      <w:r>
        <w:rPr>
          <w:rFonts w:ascii="Calibri" w:hAnsi="Calibri"/>
          <w:b/>
          <w:i w:val="0"/>
          <w:sz w:val="24"/>
        </w:rPr>
        <w:t>Student extraction notes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Final Student Submission Checklist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identified the relevant clauses, documents and factual evidence.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distinguished agreed facts from disputed facts.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identified missing information and practical follow-up questions.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considered commercial, ethical, client-care and reputational risks.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avoided giving applicable law conclusions without checking the applicable legal framework.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sz w:val="24"/>
        </w:rPr>
        <w:t>☐ I have prepared a concise, practical and professional output.</w:t>
      </w:r>
    </w:p>
    <w:p>
      <w:pPr>
        <w:pStyle w:val="Heading1"/>
        <w:spacing w:before="120" w:after="80"/>
      </w:pPr>
      <w:r>
        <w:rPr>
          <w:rFonts w:ascii="Calibri" w:hAnsi="Calibri"/>
          <w:b/>
          <w:color w:val="1F2F42"/>
          <w:sz w:val="28"/>
        </w:rPr>
        <w:t>Reflection Questions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Which exhibit changed your initial view of the case the most?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Which clause or document was easiest to miss?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What information would you request before advising the client?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What would you escalate to a supervisor and why?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4"/>
        </w:rPr>
        <w:t>How would your approach change if the client had urgent commercial pressure?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sz w:val="20"/>
        </w:rPr>
        <w:t>________________________________________________________________________________</w:t>
      </w:r>
    </w:p>
    <w:p>
      <w:pPr>
        <w:spacing w:after="80" w:before="0" w:line="252" w:lineRule="auto"/>
      </w:pPr>
      <w:r>
        <w:rPr>
          <w:rFonts w:ascii="Calibri" w:hAnsi="Calibri"/>
          <w:b w:val="0"/>
          <w:i/>
          <w:sz w:val="24"/>
        </w:rPr>
        <w:t>LawBridge Practical Skills Course | Case 12 | Student Exhibit Pack v4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76" w:right="936" w:bottom="1584" w:left="936" w:header="72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126480" cy="11716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171689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rFonts w:ascii="Calibri" w:hAnsi="Calibri" w:eastAsia="Calibri"/>
        <w:sz w:val="14"/>
      </w:rPr>
      <w:t>LR-02 | Legal Research | LawBridge Practical Skills Course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126480" cy="12520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52099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9648"/>
    </w:tblGrid>
    <w:tr>
      <w:tc>
        <w:tcPr>
          <w:tcW w:type="dxa" w:w="9648"/>
          <w:vAlign w:val="center"/>
          <w:tcBorders>
            <w:top w:sz="2" w:val="single" w:color="C9D3C0"/>
            <w:left w:sz="2" w:val="single" w:color="C9D3C0"/>
            <w:bottom w:sz="2" w:val="single" w:color="C9D3C0"/>
            <w:right w:sz="2" w:val="single" w:color="C9D3C0"/>
          </w:tcBorders>
        </w:tcPr>
        <w:p>
          <w:pPr>
            <w:spacing w:after="0" w:before="0"/>
            <w:jc w:val="center"/>
          </w:pPr>
          <w:r/>
          <w:r>
            <w:rPr>
              <w:rFonts w:ascii="Calibri" w:hAnsi="Calibri" w:eastAsia="Calibri"/>
              <w:b/>
              <w:sz w:val="17"/>
            </w:rPr>
            <w:t>LawBridge Practical Skills Course | Worksheet: LR-02 | Skill: Legal Research | Student Version | v4</w:t>
          </w:r>
        </w:p>
      </w:tc>
    </w:tr>
    <w:tr>
      <w:tc>
        <w:tcPr>
          <w:tcW w:type="dxa" w:w="9648"/>
          <w:vAlign w:val="center"/>
          <w:tcBorders>
            <w:top w:sz="2" w:val="single" w:color="C9D3C0"/>
            <w:left w:sz="2" w:val="single" w:color="C9D3C0"/>
            <w:bottom w:sz="2" w:val="single" w:color="C9D3C0"/>
            <w:right w:sz="2" w:val="single" w:color="C9D3C0"/>
          </w:tcBorders>
        </w:tcPr>
        <w:p>
          <w:pPr>
            <w:spacing w:after="0" w:before="0"/>
            <w:jc w:val="center"/>
          </w:pPr>
          <w:r/>
          <w:r>
            <w:rPr>
              <w:rFonts w:ascii="Calibri" w:hAnsi="Calibri" w:eastAsia="Calibri"/>
              <w:sz w:val="15"/>
            </w:rPr>
            <w:t>Scenario: Researching Market Entry Rules for a Digital Payments Business | Matter type: FinTech licensing and regulatory research | Difficulty: Intermediate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F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F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F4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F42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