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06 | LW-02</w:t>
      </w:r>
    </w:p>
    <w:p>
      <w:pPr>
        <w:spacing w:after="160"/>
        <w:jc w:val="center"/>
      </w:pPr>
      <w:r>
        <w:rPr>
          <w:rFonts w:ascii="Calibri" w:hAnsi="Calibri"/>
          <w:b/>
          <w:color w:val="1F2F42"/>
          <w:sz w:val="28"/>
        </w:rPr>
        <w:t>Writing a Professional Response to a Service Failure Complaint</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Legal Writing</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Customer complaint and service recovery</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Foundation to Intermediate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drafting a careful client-facing response</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75-95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Draft professional correspondence that acknowledges concern without unnecessary admissions.</w:t>
      </w:r>
    </w:p>
    <w:p>
      <w:pPr>
        <w:pStyle w:val="ListBullet"/>
        <w:spacing w:after="40"/>
        <w:ind w:left="288"/>
      </w:pPr>
      <w:r>
        <w:rPr>
          <w:rFonts w:ascii="Calibri" w:hAnsi="Calibri"/>
          <w:sz w:val="24"/>
        </w:rPr>
        <w:t>Use evidence from service logs and support records.</w:t>
      </w:r>
    </w:p>
    <w:p>
      <w:pPr>
        <w:pStyle w:val="ListBullet"/>
        <w:spacing w:after="40"/>
        <w:ind w:left="288"/>
      </w:pPr>
      <w:r>
        <w:rPr>
          <w:rFonts w:ascii="Calibri" w:hAnsi="Calibri"/>
          <w:sz w:val="24"/>
        </w:rPr>
        <w:t>Balance legal protection, client care and commercial relationship management.</w:t>
      </w:r>
    </w:p>
    <w:p>
      <w:pPr>
        <w:pStyle w:val="ListBullet"/>
        <w:spacing w:after="40"/>
        <w:ind w:left="288"/>
      </w:pPr>
      <w:r>
        <w:rPr>
          <w:rFonts w:ascii="Calibri" w:hAnsi="Calibri"/>
          <w:sz w:val="24"/>
        </w:rPr>
        <w:t>Identify where technical facts remain unconfirmed.</w:t>
      </w:r>
    </w:p>
    <w:p>
      <w:pPr>
        <w:pStyle w:val="ListBullet"/>
        <w:spacing w:after="40"/>
        <w:ind w:left="288"/>
      </w:pPr>
      <w:r>
        <w:rPr>
          <w:rFonts w:ascii="Calibri" w:hAnsi="Calibri"/>
          <w:sz w:val="24"/>
        </w:rPr>
        <w:t>Recommend a follow-up process for complaints.</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payment services client has received a serious complaint from a major merchant after a service failure. You must draft a professional response and internal writing note that manages liability, evidence and customer relationship risk.</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Complaint response letter/email</w:t>
            </w:r>
          </w:p>
        </w:tc>
        <w:tc>
          <w:tcPr>
            <w:tcW w:type="dxa" w:w="3456"/>
            <w:vAlign w:val="top"/>
          </w:tcPr>
          <w:p>
            <w:pPr>
              <w:spacing w:after="0" w:before="0"/>
            </w:pPr>
            <w:r>
              <w:rPr>
                <w:rFonts w:ascii="Calibri" w:hAnsi="Calibri"/>
                <w:sz w:val="18"/>
              </w:rPr>
            </w:r>
            <w:r>
              <w:rPr>
                <w:rFonts w:ascii="Calibri" w:hAnsi="Calibri"/>
                <w:b w:val="0"/>
                <w:sz w:val="18"/>
              </w:rPr>
              <w:t>Acknowledgement, factual position, investigation status, next steps and relationship management.</w:t>
            </w:r>
          </w:p>
        </w:tc>
        <w:tc>
          <w:tcPr>
            <w:tcW w:type="dxa" w:w="3456"/>
            <w:vAlign w:val="top"/>
          </w:tcPr>
          <w:p>
            <w:pPr>
              <w:spacing w:after="0" w:before="0"/>
            </w:pPr>
            <w:r>
              <w:rPr>
                <w:rFonts w:ascii="Calibri" w:hAnsi="Calibri"/>
                <w:sz w:val="18"/>
              </w:rPr>
            </w:r>
            <w:r>
              <w:rPr>
                <w:rFonts w:ascii="Calibri" w:hAnsi="Calibri"/>
                <w:b w:val="0"/>
                <w:sz w:val="18"/>
              </w:rPr>
              <w:t>Must avoid unsupported admissions.</w:t>
            </w:r>
          </w:p>
        </w:tc>
      </w:tr>
      <w:tr>
        <w:tc>
          <w:tcPr>
            <w:tcW w:type="dxa" w:w="3456"/>
            <w:vAlign w:val="top"/>
          </w:tcPr>
          <w:p>
            <w:pPr>
              <w:spacing w:after="0" w:before="0"/>
            </w:pPr>
            <w:r>
              <w:rPr>
                <w:rFonts w:ascii="Calibri" w:hAnsi="Calibri"/>
                <w:sz w:val="18"/>
              </w:rPr>
            </w:r>
            <w:r>
              <w:rPr>
                <w:rFonts w:ascii="Calibri" w:hAnsi="Calibri"/>
                <w:b w:val="0"/>
                <w:sz w:val="18"/>
              </w:rPr>
              <w:t>Internal writing note</w:t>
            </w:r>
          </w:p>
        </w:tc>
        <w:tc>
          <w:tcPr>
            <w:tcW w:type="dxa" w:w="3456"/>
            <w:vAlign w:val="top"/>
          </w:tcPr>
          <w:p>
            <w:pPr>
              <w:spacing w:after="0" w:before="0"/>
            </w:pPr>
            <w:r>
              <w:rPr>
                <w:rFonts w:ascii="Calibri" w:hAnsi="Calibri"/>
                <w:sz w:val="18"/>
              </w:rPr>
            </w:r>
            <w:r>
              <w:rPr>
                <w:rFonts w:ascii="Calibri" w:hAnsi="Calibri"/>
                <w:b w:val="0"/>
                <w:sz w:val="18"/>
              </w:rPr>
              <w:t>Risky phrases to avoid, evidence gaps and approval steps.</w:t>
            </w:r>
          </w:p>
        </w:tc>
        <w:tc>
          <w:tcPr>
            <w:tcW w:type="dxa" w:w="3456"/>
            <w:vAlign w:val="top"/>
          </w:tcPr>
          <w:p>
            <w:pPr>
              <w:spacing w:after="0" w:before="0"/>
            </w:pPr>
            <w:r>
              <w:rPr>
                <w:rFonts w:ascii="Calibri" w:hAnsi="Calibri"/>
                <w:sz w:val="18"/>
              </w:rPr>
            </w:r>
            <w:r>
              <w:rPr>
                <w:rFonts w:ascii="Calibri" w:hAnsi="Calibri"/>
                <w:b w:val="0"/>
                <w:sz w:val="18"/>
              </w:rPr>
              <w:t>Must cite file evidence.</w:t>
            </w:r>
          </w:p>
        </w:tc>
      </w:tr>
      <w:tr>
        <w:tc>
          <w:tcPr>
            <w:tcW w:type="dxa" w:w="3456"/>
            <w:vAlign w:val="top"/>
          </w:tcPr>
          <w:p>
            <w:pPr>
              <w:spacing w:after="0" w:before="0"/>
            </w:pPr>
            <w:r>
              <w:rPr>
                <w:rFonts w:ascii="Calibri" w:hAnsi="Calibri"/>
                <w:sz w:val="18"/>
              </w:rPr>
            </w:r>
            <w:r>
              <w:rPr>
                <w:rFonts w:ascii="Calibri" w:hAnsi="Calibri"/>
                <w:b w:val="0"/>
                <w:sz w:val="18"/>
              </w:rPr>
              <w:t>Follow-up action list</w:t>
            </w:r>
          </w:p>
        </w:tc>
        <w:tc>
          <w:tcPr>
            <w:tcW w:type="dxa" w:w="3456"/>
            <w:vAlign w:val="top"/>
          </w:tcPr>
          <w:p>
            <w:pPr>
              <w:spacing w:after="0" w:before="0"/>
            </w:pPr>
            <w:r>
              <w:rPr>
                <w:rFonts w:ascii="Calibri" w:hAnsi="Calibri"/>
                <w:sz w:val="18"/>
              </w:rPr>
            </w:r>
            <w:r>
              <w:rPr>
                <w:rFonts w:ascii="Calibri" w:hAnsi="Calibri"/>
                <w:b w:val="0"/>
                <w:sz w:val="18"/>
              </w:rPr>
              <w:t>Technical, commercial and legal steps before final settlement or compensation.</w:t>
            </w:r>
          </w:p>
        </w:tc>
        <w:tc>
          <w:tcPr>
            <w:tcW w:type="dxa" w:w="3456"/>
            <w:vAlign w:val="top"/>
          </w:tcPr>
          <w:p>
            <w:pPr>
              <w:spacing w:after="0" w:before="0"/>
            </w:pPr>
            <w:r>
              <w:rPr>
                <w:rFonts w:ascii="Calibri" w:hAnsi="Calibri"/>
                <w:sz w:val="18"/>
              </w:rPr>
            </w:r>
            <w:r>
              <w:rPr>
                <w:rFonts w:ascii="Calibri" w:hAnsi="Calibri"/>
                <w:b w:val="0"/>
                <w:sz w:val="18"/>
              </w:rPr>
              <w:t>Each action must have an owner.</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Identify the complaint and the business relationship at risk.</w:t>
      </w:r>
    </w:p>
    <w:p>
      <w:pPr>
        <w:pStyle w:val="ListNumber"/>
        <w:spacing w:after="40"/>
      </w:pPr>
      <w:r>
        <w:rPr>
          <w:rFonts w:ascii="Calibri" w:hAnsi="Calibri"/>
          <w:sz w:val="24"/>
        </w:rPr>
        <w:t>Extract what the service logs confirm.</w:t>
      </w:r>
    </w:p>
    <w:p>
      <w:pPr>
        <w:pStyle w:val="ListNumber"/>
        <w:spacing w:after="40"/>
      </w:pPr>
      <w:r>
        <w:rPr>
          <w:rFonts w:ascii="Calibri" w:hAnsi="Calibri"/>
          <w:sz w:val="24"/>
        </w:rPr>
        <w:t>Identify what remains technical uncertainty.</w:t>
      </w:r>
    </w:p>
    <w:p>
      <w:pPr>
        <w:pStyle w:val="ListNumber"/>
        <w:spacing w:after="40"/>
      </w:pPr>
      <w:r>
        <w:rPr>
          <w:rFonts w:ascii="Calibri" w:hAnsi="Calibri"/>
          <w:sz w:val="24"/>
        </w:rPr>
        <w:t>Draft a response that is empathetic but careful.</w:t>
      </w:r>
    </w:p>
    <w:p>
      <w:pPr>
        <w:pStyle w:val="ListNumber"/>
        <w:spacing w:after="40"/>
      </w:pPr>
      <w:r>
        <w:rPr>
          <w:rFonts w:ascii="Calibri" w:hAnsi="Calibri"/>
          <w:sz w:val="24"/>
        </w:rPr>
        <w:t>Avoid admissions of liability or loss not yet established.</w:t>
      </w:r>
    </w:p>
    <w:p>
      <w:pPr>
        <w:pStyle w:val="ListNumber"/>
        <w:spacing w:after="40"/>
      </w:pPr>
      <w:r>
        <w:rPr>
          <w:rFonts w:ascii="Calibri" w:hAnsi="Calibri"/>
          <w:sz w:val="24"/>
        </w:rPr>
        <w:t>Suggest a practical investigation process.</w:t>
      </w:r>
    </w:p>
    <w:p>
      <w:pPr>
        <w:pStyle w:val="ListNumber"/>
        <w:spacing w:after="40"/>
      </w:pPr>
      <w:r>
        <w:rPr>
          <w:rFonts w:ascii="Calibri" w:hAnsi="Calibri"/>
          <w:sz w:val="24"/>
        </w:rPr>
        <w:t>Identify commercial gestures that do not concede legal liability.</w:t>
      </w:r>
    </w:p>
    <w:p>
      <w:pPr>
        <w:pStyle w:val="ListNumber"/>
        <w:spacing w:after="40"/>
      </w:pPr>
      <w:r>
        <w:rPr>
          <w:rFonts w:ascii="Calibri" w:hAnsi="Calibri"/>
          <w:sz w:val="24"/>
        </w:rPr>
        <w:t>Prepare internal approval steps.</w:t>
      </w:r>
    </w:p>
    <w:p>
      <w:pPr>
        <w:pStyle w:val="ListNumber"/>
        <w:spacing w:after="40"/>
      </w:pPr>
      <w:r>
        <w:rPr>
          <w:rFonts w:ascii="Calibri" w:hAnsi="Calibri"/>
          <w:sz w:val="24"/>
        </w:rPr>
        <w:t>Draft a short covering note to the supervisor.</w:t>
      </w:r>
    </w:p>
    <w:p>
      <w:pPr>
        <w:pStyle w:val="ListNumber"/>
        <w:spacing w:after="40"/>
      </w:pPr>
      <w:r>
        <w:rPr>
          <w:rFonts w:ascii="Calibri" w:hAnsi="Calibri"/>
          <w:sz w:val="24"/>
        </w:rPr>
        <w:t>Reflect on tone and client-care choices.</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Merchant Complaint Email</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Internal Service Log</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Account Manager Note</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Contract Remedy Extract</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Draft Response From Commercial Team</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Customer Support Summary</w:t>
            </w:r>
          </w:p>
        </w:tc>
        <w:tc>
          <w:tcPr>
            <w:tcW w:type="dxa" w:w="3456"/>
            <w:vAlign w:val="top"/>
          </w:tcPr>
          <w:p>
            <w:pPr>
              <w:spacing w:after="0" w:before="0"/>
            </w:pPr>
            <w:r>
              <w:rPr>
                <w:rFonts w:ascii="Calibri" w:hAnsi="Calibri"/>
                <w:sz w:val="18"/>
              </w:rPr>
            </w:r>
            <w:r>
              <w:rPr>
                <w:rFonts w:ascii="Calibri" w:hAnsi="Calibri"/>
                <w:b w:val="0"/>
                <w:sz w:val="18"/>
              </w:rPr>
              <w:t>What can safely be said, and what requires careful wording?</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Merchant Complaint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4 October</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Tandem Tickets</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Northstar Payments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Formal complaint</w:t>
            </w:r>
          </w:p>
        </w:tc>
      </w:tr>
    </w:tbl>
    <w:p>
      <w:pPr>
        <w:spacing w:after="80" w:before="0" w:line="252" w:lineRule="auto"/>
      </w:pPr>
      <w:r>
        <w:rPr>
          <w:rFonts w:ascii="Calibri" w:hAnsi="Calibri"/>
          <w:b w:val="0"/>
          <w:i w:val="0"/>
          <w:sz w:val="24"/>
        </w:rPr>
        <w:t>Your outage caused failed ticket sales during our headline event release. We require compensation for lost sales, customer service costs and damage to our brand. We expect a response today.</w:t>
      </w:r>
    </w:p>
    <w:p>
      <w:pPr>
        <w:pStyle w:val="ListBullet"/>
        <w:spacing w:after="40"/>
        <w:ind w:left="288"/>
      </w:pPr>
      <w:r>
        <w:rPr>
          <w:rFonts w:ascii="Calibri" w:hAnsi="Calibri"/>
          <w:sz w:val="24"/>
        </w:rPr>
        <w:t>Merchant threatens to move provider.</w:t>
      </w:r>
    </w:p>
    <w:p>
      <w:pPr>
        <w:pStyle w:val="ListBullet"/>
        <w:spacing w:after="40"/>
        <w:ind w:left="288"/>
      </w:pPr>
      <w:r>
        <w:rPr>
          <w:rFonts w:ascii="Calibri" w:hAnsi="Calibri"/>
          <w:sz w:val="24"/>
        </w:rPr>
        <w:t>Merchant has not provided transaction-level evidence.</w:t>
      </w:r>
    </w:p>
    <w:p>
      <w:pPr>
        <w:pStyle w:val="ListBullet"/>
        <w:spacing w:after="40"/>
        <w:ind w:left="288"/>
      </w:pPr>
      <w:r>
        <w:rPr>
          <w:rFonts w:ascii="Calibri" w:hAnsi="Calibri"/>
          <w:sz w:val="24"/>
        </w:rPr>
        <w:t>Relationship is commercially important.</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Internal Service Log</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4 October</w:t>
            </w:r>
          </w:p>
        </w:tc>
      </w:tr>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Northstar operations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Initial service review</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Time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Service status</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Comment</w:t>
            </w:r>
          </w:p>
        </w:tc>
      </w:tr>
      <w:tr>
        <w:tc>
          <w:tcPr>
            <w:tcW w:type="dxa" w:w="3456"/>
            <w:vAlign w:val="top"/>
          </w:tcPr>
          <w:p>
            <w:pPr>
              <w:spacing w:after="0" w:before="0"/>
            </w:pPr>
            <w:r>
              <w:rPr>
                <w:rFonts w:ascii="Calibri" w:hAnsi="Calibri"/>
                <w:sz w:val="18"/>
              </w:rPr>
            </w:r>
            <w:r>
              <w:rPr>
                <w:rFonts w:ascii="Calibri" w:hAnsi="Calibri"/>
                <w:b w:val="0"/>
                <w:sz w:val="18"/>
              </w:rPr>
              <w:t>09:01</w:t>
            </w:r>
          </w:p>
        </w:tc>
        <w:tc>
          <w:tcPr>
            <w:tcW w:type="dxa" w:w="3456"/>
            <w:vAlign w:val="top"/>
          </w:tcPr>
          <w:p>
            <w:pPr>
              <w:spacing w:after="0" w:before="0"/>
            </w:pPr>
            <w:r>
              <w:rPr>
                <w:rFonts w:ascii="Calibri" w:hAnsi="Calibri"/>
                <w:sz w:val="18"/>
              </w:rPr>
            </w:r>
            <w:r>
              <w:rPr>
                <w:rFonts w:ascii="Calibri" w:hAnsi="Calibri"/>
                <w:b w:val="0"/>
                <w:sz w:val="18"/>
              </w:rPr>
              <w:t>Normal</w:t>
            </w:r>
          </w:p>
        </w:tc>
        <w:tc>
          <w:tcPr>
            <w:tcW w:type="dxa" w:w="3456"/>
            <w:vAlign w:val="top"/>
          </w:tcPr>
          <w:p>
            <w:pPr>
              <w:spacing w:after="0" w:before="0"/>
            </w:pPr>
            <w:r>
              <w:rPr>
                <w:rFonts w:ascii="Calibri" w:hAnsi="Calibri"/>
                <w:sz w:val="18"/>
              </w:rPr>
            </w:r>
            <w:r>
              <w:rPr>
                <w:rFonts w:ascii="Calibri" w:hAnsi="Calibri"/>
                <w:b w:val="0"/>
                <w:sz w:val="18"/>
              </w:rPr>
              <w:t>Ticket sale opened</w:t>
            </w:r>
          </w:p>
        </w:tc>
      </w:tr>
      <w:tr>
        <w:tc>
          <w:tcPr>
            <w:tcW w:type="dxa" w:w="3456"/>
            <w:vAlign w:val="top"/>
          </w:tcPr>
          <w:p>
            <w:pPr>
              <w:spacing w:after="0" w:before="0"/>
            </w:pPr>
            <w:r>
              <w:rPr>
                <w:rFonts w:ascii="Calibri" w:hAnsi="Calibri"/>
                <w:sz w:val="18"/>
              </w:rPr>
            </w:r>
            <w:r>
              <w:rPr>
                <w:rFonts w:ascii="Calibri" w:hAnsi="Calibri"/>
                <w:b w:val="0"/>
                <w:sz w:val="18"/>
              </w:rPr>
              <w:t>09:18</w:t>
            </w:r>
          </w:p>
        </w:tc>
        <w:tc>
          <w:tcPr>
            <w:tcW w:type="dxa" w:w="3456"/>
            <w:vAlign w:val="top"/>
          </w:tcPr>
          <w:p>
            <w:pPr>
              <w:spacing w:after="0" w:before="0"/>
            </w:pPr>
            <w:r>
              <w:rPr>
                <w:rFonts w:ascii="Calibri" w:hAnsi="Calibri"/>
                <w:sz w:val="18"/>
              </w:rPr>
            </w:r>
            <w:r>
              <w:rPr>
                <w:rFonts w:ascii="Calibri" w:hAnsi="Calibri"/>
                <w:b w:val="0"/>
                <w:sz w:val="18"/>
              </w:rPr>
              <w:t>Degraded</w:t>
            </w:r>
          </w:p>
        </w:tc>
        <w:tc>
          <w:tcPr>
            <w:tcW w:type="dxa" w:w="3456"/>
            <w:vAlign w:val="top"/>
          </w:tcPr>
          <w:p>
            <w:pPr>
              <w:spacing w:after="0" w:before="0"/>
            </w:pPr>
            <w:r>
              <w:rPr>
                <w:rFonts w:ascii="Calibri" w:hAnsi="Calibri"/>
                <w:sz w:val="18"/>
              </w:rPr>
            </w:r>
            <w:r>
              <w:rPr>
                <w:rFonts w:ascii="Calibri" w:hAnsi="Calibri"/>
                <w:b w:val="0"/>
                <w:sz w:val="18"/>
              </w:rPr>
              <w:t>Payment retries increased</w:t>
            </w:r>
          </w:p>
        </w:tc>
      </w:tr>
      <w:tr>
        <w:tc>
          <w:tcPr>
            <w:tcW w:type="dxa" w:w="3456"/>
            <w:vAlign w:val="top"/>
          </w:tcPr>
          <w:p>
            <w:pPr>
              <w:spacing w:after="0" w:before="0"/>
            </w:pPr>
            <w:r>
              <w:rPr>
                <w:rFonts w:ascii="Calibri" w:hAnsi="Calibri"/>
                <w:sz w:val="18"/>
              </w:rPr>
            </w:r>
            <w:r>
              <w:rPr>
                <w:rFonts w:ascii="Calibri" w:hAnsi="Calibri"/>
                <w:b w:val="0"/>
                <w:sz w:val="18"/>
              </w:rPr>
              <w:t>09:42</w:t>
            </w:r>
          </w:p>
        </w:tc>
        <w:tc>
          <w:tcPr>
            <w:tcW w:type="dxa" w:w="3456"/>
            <w:vAlign w:val="top"/>
          </w:tcPr>
          <w:p>
            <w:pPr>
              <w:spacing w:after="0" w:before="0"/>
            </w:pPr>
            <w:r>
              <w:rPr>
                <w:rFonts w:ascii="Calibri" w:hAnsi="Calibri"/>
                <w:sz w:val="18"/>
              </w:rPr>
            </w:r>
            <w:r>
              <w:rPr>
                <w:rFonts w:ascii="Calibri" w:hAnsi="Calibri"/>
                <w:b w:val="0"/>
                <w:sz w:val="18"/>
              </w:rPr>
              <w:t>Unavailable</w:t>
            </w:r>
          </w:p>
        </w:tc>
        <w:tc>
          <w:tcPr>
            <w:tcW w:type="dxa" w:w="3456"/>
            <w:vAlign w:val="top"/>
          </w:tcPr>
          <w:p>
            <w:pPr>
              <w:spacing w:after="0" w:before="0"/>
            </w:pPr>
            <w:r>
              <w:rPr>
                <w:rFonts w:ascii="Calibri" w:hAnsi="Calibri"/>
                <w:sz w:val="18"/>
              </w:rPr>
            </w:r>
            <w:r>
              <w:rPr>
                <w:rFonts w:ascii="Calibri" w:hAnsi="Calibri"/>
                <w:b w:val="0"/>
                <w:sz w:val="18"/>
              </w:rPr>
              <w:t>API timeout spike</w:t>
            </w:r>
          </w:p>
        </w:tc>
      </w:tr>
      <w:tr>
        <w:tc>
          <w:tcPr>
            <w:tcW w:type="dxa" w:w="3456"/>
            <w:vAlign w:val="top"/>
          </w:tcPr>
          <w:p>
            <w:pPr>
              <w:spacing w:after="0" w:before="0"/>
            </w:pPr>
            <w:r>
              <w:rPr>
                <w:rFonts w:ascii="Calibri" w:hAnsi="Calibri"/>
                <w:sz w:val="18"/>
              </w:rPr>
            </w:r>
            <w:r>
              <w:rPr>
                <w:rFonts w:ascii="Calibri" w:hAnsi="Calibri"/>
                <w:b w:val="0"/>
                <w:sz w:val="18"/>
              </w:rPr>
              <w:t>10:26</w:t>
            </w:r>
          </w:p>
        </w:tc>
        <w:tc>
          <w:tcPr>
            <w:tcW w:type="dxa" w:w="3456"/>
            <w:vAlign w:val="top"/>
          </w:tcPr>
          <w:p>
            <w:pPr>
              <w:spacing w:after="0" w:before="0"/>
            </w:pPr>
            <w:r>
              <w:rPr>
                <w:rFonts w:ascii="Calibri" w:hAnsi="Calibri"/>
                <w:sz w:val="18"/>
              </w:rPr>
            </w:r>
            <w:r>
              <w:rPr>
                <w:rFonts w:ascii="Calibri" w:hAnsi="Calibri"/>
                <w:b w:val="0"/>
                <w:sz w:val="18"/>
              </w:rPr>
              <w:t>Restored</w:t>
            </w:r>
          </w:p>
        </w:tc>
        <w:tc>
          <w:tcPr>
            <w:tcW w:type="dxa" w:w="3456"/>
            <w:vAlign w:val="top"/>
          </w:tcPr>
          <w:p>
            <w:pPr>
              <w:spacing w:after="0" w:before="0"/>
            </w:pPr>
            <w:r>
              <w:rPr>
                <w:rFonts w:ascii="Calibri" w:hAnsi="Calibri"/>
                <w:sz w:val="18"/>
              </w:rPr>
            </w:r>
            <w:r>
              <w:rPr>
                <w:rFonts w:ascii="Calibri" w:hAnsi="Calibri"/>
                <w:b w:val="0"/>
                <w:sz w:val="18"/>
              </w:rPr>
              <w:t>Manual scaling applied</w:t>
            </w:r>
          </w:p>
        </w:tc>
      </w:tr>
      <w:tr>
        <w:tc>
          <w:tcPr>
            <w:tcW w:type="dxa" w:w="3456"/>
            <w:vAlign w:val="top"/>
          </w:tcPr>
          <w:p>
            <w:pPr>
              <w:spacing w:after="0" w:before="0"/>
            </w:pPr>
            <w:r>
              <w:rPr>
                <w:rFonts w:ascii="Calibri" w:hAnsi="Calibri"/>
                <w:sz w:val="18"/>
              </w:rPr>
            </w:r>
            <w:r>
              <w:rPr>
                <w:rFonts w:ascii="Calibri" w:hAnsi="Calibri"/>
                <w:b w:val="0"/>
                <w:sz w:val="18"/>
              </w:rPr>
              <w:t>11:05</w:t>
            </w:r>
          </w:p>
        </w:tc>
        <w:tc>
          <w:tcPr>
            <w:tcW w:type="dxa" w:w="3456"/>
            <w:vAlign w:val="top"/>
          </w:tcPr>
          <w:p>
            <w:pPr>
              <w:spacing w:after="0" w:before="0"/>
            </w:pPr>
            <w:r>
              <w:rPr>
                <w:rFonts w:ascii="Calibri" w:hAnsi="Calibri"/>
                <w:sz w:val="18"/>
              </w:rPr>
            </w:r>
            <w:r>
              <w:rPr>
                <w:rFonts w:ascii="Calibri" w:hAnsi="Calibri"/>
                <w:b w:val="0"/>
                <w:sz w:val="18"/>
              </w:rPr>
              <w:t>Normal</w:t>
            </w:r>
          </w:p>
        </w:tc>
        <w:tc>
          <w:tcPr>
            <w:tcW w:type="dxa" w:w="3456"/>
            <w:vAlign w:val="top"/>
          </w:tcPr>
          <w:p>
            <w:pPr>
              <w:spacing w:after="0" w:before="0"/>
            </w:pPr>
            <w:r>
              <w:rPr>
                <w:rFonts w:ascii="Calibri" w:hAnsi="Calibri"/>
                <w:sz w:val="18"/>
              </w:rPr>
            </w:r>
            <w:r>
              <w:rPr>
                <w:rFonts w:ascii="Calibri" w:hAnsi="Calibri"/>
                <w:b w:val="0"/>
                <w:sz w:val="18"/>
              </w:rPr>
              <w:t>Monitoring stable</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Account Manager Note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4 October</w:t>
            </w:r>
          </w:p>
        </w:tc>
      </w:tr>
      <w:tr>
        <w:tc>
          <w:tcPr>
            <w:tcW w:type="dxa" w:w="5184"/>
            <w:shd w:fill="E9EEF3"/>
            <w:vAlign w:val="top"/>
          </w:tcPr>
          <w:p>
            <w:pPr>
              <w:spacing w:after="0" w:before="0"/>
            </w:pPr>
            <w:r>
              <w:rPr>
                <w:rFonts w:ascii="Calibri" w:hAnsi="Calibri"/>
                <w:sz w:val="21"/>
              </w:rPr>
            </w:r>
            <w:r>
              <w:rPr>
                <w:rFonts w:ascii="Calibri" w:hAnsi="Calibri"/>
                <w:b/>
                <w:color w:val="1F2F42"/>
                <w:sz w:val="21"/>
              </w:rPr>
              <w:t>Author</w:t>
            </w:r>
          </w:p>
        </w:tc>
        <w:tc>
          <w:tcPr>
            <w:tcW w:type="dxa" w:w="5184"/>
            <w:vAlign w:val="top"/>
          </w:tcPr>
          <w:p>
            <w:pPr>
              <w:spacing w:after="0" w:before="0"/>
            </w:pPr>
            <w:r>
              <w:rPr>
                <w:rFonts w:ascii="Calibri" w:hAnsi="Calibri"/>
                <w:sz w:val="21"/>
              </w:rPr>
            </w:r>
            <w:r>
              <w:rPr>
                <w:rFonts w:ascii="Calibri" w:hAnsi="Calibri"/>
                <w:b w:val="0"/>
                <w:sz w:val="21"/>
              </w:rPr>
              <w:t>Senior Account Manager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Internal</w:t>
            </w:r>
          </w:p>
        </w:tc>
      </w:tr>
    </w:tbl>
    <w:p>
      <w:pPr>
        <w:spacing w:after="80" w:before="0" w:line="252" w:lineRule="auto"/>
      </w:pPr>
      <w:r>
        <w:rPr>
          <w:rFonts w:ascii="Calibri" w:hAnsi="Calibri"/>
          <w:b w:val="0"/>
          <w:i w:val="0"/>
          <w:sz w:val="24"/>
        </w:rPr>
        <w:t>Tandem is one of our top ten merchants. They are angry and may escalate publicly. A goodwill credit may be commercially sensible, but finance says we need evidence before offering compensation.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What can be offered without admitting liability?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Who must approve goodwill credit?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evidence is needed from merchant?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Contract Remedy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Merchant Services Terms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Extract only</w:t>
            </w:r>
          </w:p>
        </w:tc>
      </w:tr>
    </w:tbl>
    <w:p>
      <w:pPr>
        <w:spacing w:after="80" w:before="0" w:line="252" w:lineRule="auto"/>
      </w:pPr>
      <w:r>
        <w:rPr>
          <w:rFonts w:ascii="Calibri" w:hAnsi="Calibri"/>
          <w:b w:val="0"/>
          <w:i w:val="0"/>
          <w:sz w:val="24"/>
        </w:rPr>
        <w:t>The provider will use reasonable efforts to maintain platform availability. Service interruptions may qualify for service credits where the merchant submits reasonable evidence within 15 business days. The agreement excludes loss of profit, revenue, goodwill and reputational harm to the extent permitted by applicable law.</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Does the merchant need to submit evidence?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the credit process apply?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loss categories may be excluded?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Draft Response From Commercial Team</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Commercial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Draft for legal review</w:t>
            </w:r>
          </w:p>
        </w:tc>
      </w:tr>
    </w:tbl>
    <w:p>
      <w:pPr>
        <w:spacing w:after="80" w:before="0" w:line="252" w:lineRule="auto"/>
      </w:pPr>
      <w:r>
        <w:rPr>
          <w:rFonts w:ascii="Calibri" w:hAnsi="Calibri"/>
          <w:b w:val="0"/>
          <w:i w:val="0"/>
          <w:sz w:val="24"/>
        </w:rPr>
        <w:t>We accept responsibility for yesterday’s outage and will compensate you for your lost sales. Our platform failure was the sole cause of the problem.</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Which statements are unsafe?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should be softened or qualified?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facts are not yet proven?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Customer Support Summary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Support lead</w:t>
            </w:r>
          </w:p>
        </w:tc>
      </w:tr>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5 October</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Issue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Number</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Notes</w:t>
            </w:r>
          </w:p>
        </w:tc>
      </w:tr>
      <w:tr>
        <w:tc>
          <w:tcPr>
            <w:tcW w:type="dxa" w:w="3456"/>
            <w:vAlign w:val="top"/>
          </w:tcPr>
          <w:p>
            <w:pPr>
              <w:spacing w:after="0" w:before="0"/>
            </w:pPr>
            <w:r>
              <w:rPr>
                <w:rFonts w:ascii="Calibri" w:hAnsi="Calibri"/>
                <w:sz w:val="18"/>
              </w:rPr>
            </w:r>
            <w:r>
              <w:rPr>
                <w:rFonts w:ascii="Calibri" w:hAnsi="Calibri"/>
                <w:b w:val="0"/>
                <w:sz w:val="18"/>
              </w:rPr>
              <w:t>Failed checkout tickets</w:t>
            </w:r>
          </w:p>
        </w:tc>
        <w:tc>
          <w:tcPr>
            <w:tcW w:type="dxa" w:w="3456"/>
            <w:vAlign w:val="top"/>
          </w:tcPr>
          <w:p>
            <w:pPr>
              <w:spacing w:after="0" w:before="0"/>
            </w:pPr>
            <w:r>
              <w:rPr>
                <w:rFonts w:ascii="Calibri" w:hAnsi="Calibri"/>
                <w:sz w:val="18"/>
              </w:rPr>
            </w:r>
            <w:r>
              <w:rPr>
                <w:rFonts w:ascii="Calibri" w:hAnsi="Calibri"/>
                <w:b w:val="0"/>
                <w:sz w:val="18"/>
              </w:rPr>
              <w:t>1,250</w:t>
            </w:r>
          </w:p>
        </w:tc>
        <w:tc>
          <w:tcPr>
            <w:tcW w:type="dxa" w:w="3456"/>
            <w:vAlign w:val="top"/>
          </w:tcPr>
          <w:p>
            <w:pPr>
              <w:spacing w:after="0" w:before="0"/>
            </w:pPr>
            <w:r>
              <w:rPr>
                <w:rFonts w:ascii="Calibri" w:hAnsi="Calibri"/>
                <w:sz w:val="18"/>
              </w:rPr>
            </w:r>
            <w:r>
              <w:rPr>
                <w:rFonts w:ascii="Calibri" w:hAnsi="Calibri"/>
                <w:b w:val="0"/>
                <w:sz w:val="18"/>
              </w:rPr>
              <w:t>May include duplicate attempts</w:t>
            </w:r>
          </w:p>
        </w:tc>
      </w:tr>
      <w:tr>
        <w:tc>
          <w:tcPr>
            <w:tcW w:type="dxa" w:w="3456"/>
            <w:vAlign w:val="top"/>
          </w:tcPr>
          <w:p>
            <w:pPr>
              <w:spacing w:after="0" w:before="0"/>
            </w:pPr>
            <w:r>
              <w:rPr>
                <w:rFonts w:ascii="Calibri" w:hAnsi="Calibri"/>
                <w:sz w:val="18"/>
              </w:rPr>
            </w:r>
            <w:r>
              <w:rPr>
                <w:rFonts w:ascii="Calibri" w:hAnsi="Calibri"/>
                <w:b w:val="0"/>
                <w:sz w:val="18"/>
              </w:rPr>
              <w:t>Refund complaints</w:t>
            </w:r>
          </w:p>
        </w:tc>
        <w:tc>
          <w:tcPr>
            <w:tcW w:type="dxa" w:w="3456"/>
            <w:vAlign w:val="top"/>
          </w:tcPr>
          <w:p>
            <w:pPr>
              <w:spacing w:after="0" w:before="0"/>
            </w:pPr>
            <w:r>
              <w:rPr>
                <w:rFonts w:ascii="Calibri" w:hAnsi="Calibri"/>
                <w:sz w:val="18"/>
              </w:rPr>
            </w:r>
            <w:r>
              <w:rPr>
                <w:rFonts w:ascii="Calibri" w:hAnsi="Calibri"/>
                <w:b w:val="0"/>
                <w:sz w:val="18"/>
              </w:rPr>
              <w:t>87</w:t>
            </w:r>
          </w:p>
        </w:tc>
        <w:tc>
          <w:tcPr>
            <w:tcW w:type="dxa" w:w="3456"/>
            <w:vAlign w:val="top"/>
          </w:tcPr>
          <w:p>
            <w:pPr>
              <w:spacing w:after="0" w:before="0"/>
            </w:pPr>
            <w:r>
              <w:rPr>
                <w:rFonts w:ascii="Calibri" w:hAnsi="Calibri"/>
                <w:sz w:val="18"/>
              </w:rPr>
            </w:r>
            <w:r>
              <w:rPr>
                <w:rFonts w:ascii="Calibri" w:hAnsi="Calibri"/>
                <w:b w:val="0"/>
                <w:sz w:val="18"/>
              </w:rPr>
              <w:t>Not all linked to outage</w:t>
            </w:r>
          </w:p>
        </w:tc>
      </w:tr>
      <w:tr>
        <w:tc>
          <w:tcPr>
            <w:tcW w:type="dxa" w:w="3456"/>
            <w:vAlign w:val="top"/>
          </w:tcPr>
          <w:p>
            <w:pPr>
              <w:spacing w:after="0" w:before="0"/>
            </w:pPr>
            <w:r>
              <w:rPr>
                <w:rFonts w:ascii="Calibri" w:hAnsi="Calibri"/>
                <w:sz w:val="18"/>
              </w:rPr>
            </w:r>
            <w:r>
              <w:rPr>
                <w:rFonts w:ascii="Calibri" w:hAnsi="Calibri"/>
                <w:b w:val="0"/>
                <w:sz w:val="18"/>
              </w:rPr>
              <w:t>Social posts</w:t>
            </w:r>
          </w:p>
        </w:tc>
        <w:tc>
          <w:tcPr>
            <w:tcW w:type="dxa" w:w="3456"/>
            <w:vAlign w:val="top"/>
          </w:tcPr>
          <w:p>
            <w:pPr>
              <w:spacing w:after="0" w:before="0"/>
            </w:pPr>
            <w:r>
              <w:rPr>
                <w:rFonts w:ascii="Calibri" w:hAnsi="Calibri"/>
                <w:sz w:val="18"/>
              </w:rPr>
            </w:r>
            <w:r>
              <w:rPr>
                <w:rFonts w:ascii="Calibri" w:hAnsi="Calibri"/>
                <w:b w:val="0"/>
                <w:sz w:val="18"/>
              </w:rPr>
              <w:t>33</w:t>
            </w:r>
          </w:p>
        </w:tc>
        <w:tc>
          <w:tcPr>
            <w:tcW w:type="dxa" w:w="3456"/>
            <w:vAlign w:val="top"/>
          </w:tcPr>
          <w:p>
            <w:pPr>
              <w:spacing w:after="0" w:before="0"/>
            </w:pPr>
            <w:r>
              <w:rPr>
                <w:rFonts w:ascii="Calibri" w:hAnsi="Calibri"/>
                <w:sz w:val="18"/>
              </w:rPr>
            </w:r>
            <w:r>
              <w:rPr>
                <w:rFonts w:ascii="Calibri" w:hAnsi="Calibri"/>
                <w:b w:val="0"/>
                <w:sz w:val="18"/>
              </w:rPr>
              <w:t>Mixed customer sentiment</w:t>
            </w:r>
          </w:p>
        </w:tc>
      </w:tr>
      <w:tr>
        <w:tc>
          <w:tcPr>
            <w:tcW w:type="dxa" w:w="3456"/>
            <w:vAlign w:val="top"/>
          </w:tcPr>
          <w:p>
            <w:pPr>
              <w:spacing w:after="0" w:before="0"/>
            </w:pPr>
            <w:r>
              <w:rPr>
                <w:rFonts w:ascii="Calibri" w:hAnsi="Calibri"/>
                <w:sz w:val="18"/>
              </w:rPr>
            </w:r>
            <w:r>
              <w:rPr>
                <w:rFonts w:ascii="Calibri" w:hAnsi="Calibri"/>
                <w:b w:val="0"/>
                <w:sz w:val="18"/>
              </w:rPr>
              <w:t>Calls to support</w:t>
            </w:r>
          </w:p>
        </w:tc>
        <w:tc>
          <w:tcPr>
            <w:tcW w:type="dxa" w:w="3456"/>
            <w:vAlign w:val="top"/>
          </w:tcPr>
          <w:p>
            <w:pPr>
              <w:spacing w:after="0" w:before="0"/>
            </w:pPr>
            <w:r>
              <w:rPr>
                <w:rFonts w:ascii="Calibri" w:hAnsi="Calibri"/>
                <w:sz w:val="18"/>
              </w:rPr>
            </w:r>
            <w:r>
              <w:rPr>
                <w:rFonts w:ascii="Calibri" w:hAnsi="Calibri"/>
                <w:b w:val="0"/>
                <w:sz w:val="18"/>
              </w:rPr>
              <w:t>146</w:t>
            </w:r>
          </w:p>
        </w:tc>
        <w:tc>
          <w:tcPr>
            <w:tcW w:type="dxa" w:w="3456"/>
            <w:vAlign w:val="top"/>
          </w:tcPr>
          <w:p>
            <w:pPr>
              <w:spacing w:after="0" w:before="0"/>
            </w:pPr>
            <w:r>
              <w:rPr>
                <w:rFonts w:ascii="Calibri" w:hAnsi="Calibri"/>
                <w:sz w:val="18"/>
              </w:rPr>
            </w:r>
            <w:r>
              <w:rPr>
                <w:rFonts w:ascii="Calibri" w:hAnsi="Calibri"/>
                <w:b w:val="0"/>
                <w:sz w:val="18"/>
              </w:rPr>
              <w:t>Additional staffing used</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06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LW-02 | Legal Writing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LW-02 | Skill: Legal Writing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Writing a Professional Response to a Service Failure Complaint | Matter type: Customer complaint and service recovery | Difficulty: Foundation to Intermediate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