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PS-BFA-01 | Business and Financial Awareness | Tutor Guide</w:t>
        <w:br/>
        <w:t>Helping a Start-Up Prioritise Legal Spend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PS-BFA-01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and Financial Awareness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Helping a Start-Up Prioritise Legal Spend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Budget-conscious legal planning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and Financial Awareness - Helping a Start-Up Prioritise Legal Spend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Helping a Start-Up Prioritise Legal Spend. The matter type is Budget-conscious legal planning. Students should treat the file as fictional and use it to practise business and financial awareness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budget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prioritisation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commercial impact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scope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value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Founder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business and financial awareness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Workstream list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business and financial awareness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plan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business and financial awareness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business and financial awareness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Investor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business and financial awareness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Issue spotting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legal, commercial and practical issues.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context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Connects legal risk to business goals and trade-offs.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and uncertainty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Separates facts, assumptions and missing information.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options and prioritised next steps.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Accessible language for non-lawyer audiences.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links legal work to launch risk and revenue impact.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say everything is urgent.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consider a phased approach.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note should use client-friendly business language.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client's immediate business goal.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Rank the four legal workstreams.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Explain one risk of delaying each workstream.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budget-sensitive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what is urgent and what can wait.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cost affects access to legal support.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Priority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Rank the issues by urgency, risk and business impact.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explain why.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Facts needed before final priority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commercially focused.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Scope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could be done now, later or by template with review.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realistic.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PS-BFA-01 | Business and Financial Awareness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