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eastAsia="Calibri"/>
          <w:b/>
          <w:sz w:val="28"/>
        </w:rPr>
        <w:t>PS-BFA-02 | Business and Financial Awareness | Tutor Guide</w:t>
        <w:br/>
        <w:t>Understanding Scope, Billing and Value</w:t>
      </w:r>
    </w:p>
    <w:p>
      <w:pPr>
        <w:spacing w:after="120"/>
      </w:pPr>
      <w:r>
        <w:rPr>
          <w:rFonts w:ascii="Calibri" w:hAnsi="Calibri" w:eastAsia="Calibri"/>
          <w:i/>
          <w:sz w:val="24"/>
        </w:rPr>
        <w:t>LawBridge Professional Skills Course</w:t>
        <w:br/>
        <w:t>Model Answers, Facilitation Notes and Feedback Guidance</w:t>
      </w:r>
    </w:p>
    <w:tbl>
      <w:tblPr>
        <w:tblStyle w:val="TableGrid"/>
        <w:tblW w:type="auto" w:w="0"/>
        <w:jc w:val="center"/>
        <w:tblLook w:firstColumn="1" w:firstRow="1" w:lastColumn="0" w:lastRow="0" w:noHBand="0" w:noVBand="1" w:val="04A0"/>
      </w:tblPr>
      <w:tblGrid>
        <w:gridCol w:w="5141"/>
        <w:gridCol w:w="5141"/>
      </w:tblGrid>
      <w:tr>
        <w:tc>
          <w:tcPr>
            <w:tcW w:type="dxa" w:w="2736"/>
            <w:vAlign w:val="top"/>
            <w:shd w:fill="DDD3C6"/>
          </w:tcPr>
          <w:p>
            <w:pPr>
              <w:spacing w:after="0" w:before="0"/>
            </w:pPr>
            <w:r/>
            <w:r>
              <w:rPr>
                <w:rFonts w:ascii="Calibri" w:hAnsi="Calibri" w:eastAsia="Calibri"/>
                <w:b/>
                <w:sz w:val="21"/>
              </w:rPr>
              <w:t>Field</w:t>
            </w:r>
          </w:p>
        </w:tc>
        <w:tc>
          <w:tcPr>
            <w:tcW w:type="dxa" w:w="6912"/>
            <w:vAlign w:val="top"/>
            <w:shd w:fill="DDD3C6"/>
          </w:tcPr>
          <w:p>
            <w:pPr>
              <w:spacing w:after="0" w:before="0"/>
            </w:pPr>
            <w:r/>
            <w:r>
              <w:rPr>
                <w:rFonts w:ascii="Calibri" w:hAnsi="Calibri" w:eastAsia="Calibri"/>
                <w:b/>
                <w:sz w:val="21"/>
              </w:rPr>
              <w:t>Details</w:t>
            </w:r>
          </w:p>
        </w:tc>
      </w:tr>
      <w:tr>
        <w:tc>
          <w:tcPr>
            <w:tcW w:type="dxa" w:w="2736"/>
            <w:vAlign w:val="top"/>
          </w:tcPr>
          <w:p>
            <w:pPr>
              <w:spacing w:after="0" w:before="0"/>
            </w:pPr>
            <w:r/>
            <w:r>
              <w:rPr>
                <w:rFonts w:ascii="Calibri" w:hAnsi="Calibri" w:eastAsia="Calibri"/>
                <w:b w:val="0"/>
                <w:sz w:val="21"/>
              </w:rPr>
              <w:t>Worksheet code</w:t>
            </w:r>
          </w:p>
        </w:tc>
        <w:tc>
          <w:tcPr>
            <w:tcW w:type="dxa" w:w="6912"/>
            <w:vAlign w:val="top"/>
          </w:tcPr>
          <w:p>
            <w:pPr>
              <w:spacing w:after="0" w:before="0"/>
            </w:pPr>
            <w:r/>
            <w:r>
              <w:rPr>
                <w:rFonts w:ascii="Calibri" w:hAnsi="Calibri" w:eastAsia="Calibri"/>
                <w:b w:val="0"/>
                <w:sz w:val="21"/>
              </w:rPr>
              <w:t>PS-BFA-02</w:t>
            </w:r>
          </w:p>
        </w:tc>
      </w:tr>
      <w:tr>
        <w:tc>
          <w:tcPr>
            <w:tcW w:type="dxa" w:w="2736"/>
            <w:vAlign w:val="top"/>
          </w:tcPr>
          <w:p>
            <w:pPr>
              <w:spacing w:after="0" w:before="0"/>
            </w:pPr>
            <w:r/>
            <w:r>
              <w:rPr>
                <w:rFonts w:ascii="Calibri" w:hAnsi="Calibri" w:eastAsia="Calibri"/>
                <w:b w:val="0"/>
                <w:sz w:val="21"/>
              </w:rPr>
              <w:t>Skill focus</w:t>
            </w:r>
          </w:p>
        </w:tc>
        <w:tc>
          <w:tcPr>
            <w:tcW w:type="dxa" w:w="6912"/>
            <w:vAlign w:val="top"/>
          </w:tcPr>
          <w:p>
            <w:pPr>
              <w:spacing w:after="0" w:before="0"/>
            </w:pPr>
            <w:r/>
            <w:r>
              <w:rPr>
                <w:rFonts w:ascii="Calibri" w:hAnsi="Calibri" w:eastAsia="Calibri"/>
                <w:b w:val="0"/>
                <w:sz w:val="21"/>
              </w:rPr>
              <w:t>Business and Financial Awareness</w:t>
            </w:r>
          </w:p>
        </w:tc>
      </w:tr>
      <w:tr>
        <w:tc>
          <w:tcPr>
            <w:tcW w:type="dxa" w:w="2736"/>
            <w:vAlign w:val="top"/>
          </w:tcPr>
          <w:p>
            <w:pPr>
              <w:spacing w:after="0" w:before="0"/>
            </w:pPr>
            <w:r/>
            <w:r>
              <w:rPr>
                <w:rFonts w:ascii="Calibri" w:hAnsi="Calibri" w:eastAsia="Calibri"/>
                <w:b w:val="0"/>
                <w:sz w:val="21"/>
              </w:rPr>
              <w:t>Scenario</w:t>
            </w:r>
          </w:p>
        </w:tc>
        <w:tc>
          <w:tcPr>
            <w:tcW w:type="dxa" w:w="6912"/>
            <w:vAlign w:val="top"/>
          </w:tcPr>
          <w:p>
            <w:pPr>
              <w:spacing w:after="0" w:before="0"/>
            </w:pPr>
            <w:r/>
            <w:r>
              <w:rPr>
                <w:rFonts w:ascii="Calibri" w:hAnsi="Calibri" w:eastAsia="Calibri"/>
                <w:b w:val="0"/>
                <w:sz w:val="21"/>
              </w:rPr>
              <w:t>Understanding Scope, Billing and Value</w:t>
            </w:r>
          </w:p>
        </w:tc>
      </w:tr>
      <w:tr>
        <w:tc>
          <w:tcPr>
            <w:tcW w:type="dxa" w:w="2736"/>
            <w:vAlign w:val="top"/>
          </w:tcPr>
          <w:p>
            <w:pPr>
              <w:spacing w:after="0" w:before="0"/>
            </w:pPr>
            <w:r/>
            <w:r>
              <w:rPr>
                <w:rFonts w:ascii="Calibri" w:hAnsi="Calibri" w:eastAsia="Calibri"/>
                <w:b w:val="0"/>
                <w:sz w:val="21"/>
              </w:rPr>
              <w:t>Matter type</w:t>
            </w:r>
          </w:p>
        </w:tc>
        <w:tc>
          <w:tcPr>
            <w:tcW w:type="dxa" w:w="6912"/>
            <w:vAlign w:val="top"/>
          </w:tcPr>
          <w:p>
            <w:pPr>
              <w:spacing w:after="0" w:before="0"/>
            </w:pPr>
            <w:r/>
            <w:r>
              <w:rPr>
                <w:rFonts w:ascii="Calibri" w:hAnsi="Calibri" w:eastAsia="Calibri"/>
                <w:b w:val="0"/>
                <w:sz w:val="21"/>
              </w:rPr>
              <w:t>Client expectations and project scope</w:t>
            </w:r>
          </w:p>
        </w:tc>
      </w:tr>
      <w:tr>
        <w:tc>
          <w:tcPr>
            <w:tcW w:type="dxa" w:w="2736"/>
            <w:vAlign w:val="top"/>
          </w:tcPr>
          <w:p>
            <w:pPr>
              <w:spacing w:after="0" w:before="0"/>
            </w:pPr>
            <w:r/>
            <w:r>
              <w:rPr>
                <w:rFonts w:ascii="Calibri" w:hAnsi="Calibri" w:eastAsia="Calibri"/>
                <w:b w:val="0"/>
                <w:sz w:val="21"/>
              </w:rPr>
              <w:t>Difficulty</w:t>
            </w:r>
          </w:p>
        </w:tc>
        <w:tc>
          <w:tcPr>
            <w:tcW w:type="dxa" w:w="6912"/>
            <w:vAlign w:val="top"/>
          </w:tcPr>
          <w:p>
            <w:pPr>
              <w:spacing w:after="0" w:before="0"/>
            </w:pPr>
            <w:r/>
            <w:r>
              <w:rPr>
                <w:rFonts w:ascii="Calibri" w:hAnsi="Calibri" w:eastAsia="Calibri"/>
                <w:b w:val="0"/>
                <w:sz w:val="21"/>
              </w:rPr>
              <w:t>Foundation</w:t>
            </w:r>
          </w:p>
        </w:tc>
      </w:tr>
      <w:tr>
        <w:tc>
          <w:tcPr>
            <w:tcW w:type="dxa" w:w="2736"/>
            <w:vAlign w:val="top"/>
          </w:tcPr>
          <w:p>
            <w:pPr>
              <w:spacing w:after="0" w:before="0"/>
            </w:pPr>
            <w:r/>
            <w:r>
              <w:rPr>
                <w:rFonts w:ascii="Calibri" w:hAnsi="Calibri" w:eastAsia="Calibri"/>
                <w:b w:val="0"/>
                <w:sz w:val="21"/>
              </w:rPr>
              <w:t>Tutor use</w:t>
            </w:r>
          </w:p>
        </w:tc>
        <w:tc>
          <w:tcPr>
            <w:tcW w:type="dxa" w:w="6912"/>
            <w:vAlign w:val="top"/>
          </w:tcPr>
          <w:p>
            <w:pPr>
              <w:spacing w:after="0" w:before="0"/>
            </w:pPr>
            <w:r/>
            <w:r>
              <w:rPr>
                <w:rFonts w:ascii="Calibri" w:hAnsi="Calibri" w:eastAsia="Calibri"/>
                <w:b w:val="0"/>
                <w:sz w:val="21"/>
              </w:rPr>
              <w:t>Guided marking, feedback, remediation and debrief</w:t>
            </w:r>
          </w:p>
        </w:tc>
      </w:tr>
      <w:tr>
        <w:tc>
          <w:tcPr>
            <w:tcW w:type="dxa" w:w="2736"/>
            <w:vAlign w:val="top"/>
          </w:tcPr>
          <w:p>
            <w:pPr>
              <w:spacing w:after="0" w:before="0"/>
            </w:pPr>
            <w:r/>
            <w:r>
              <w:rPr>
                <w:rFonts w:ascii="Calibri" w:hAnsi="Calibri" w:eastAsia="Calibri"/>
                <w:b w:val="0"/>
                <w:sz w:val="21"/>
              </w:rPr>
              <w:t>Matching student pack</w:t>
            </w:r>
          </w:p>
        </w:tc>
        <w:tc>
          <w:tcPr>
            <w:tcW w:type="dxa" w:w="6912"/>
            <w:vAlign w:val="top"/>
          </w:tcPr>
          <w:p>
            <w:pPr>
              <w:spacing w:after="0" w:before="0"/>
            </w:pPr>
            <w:r/>
            <w:r>
              <w:rPr>
                <w:rFonts w:ascii="Calibri" w:hAnsi="Calibri" w:eastAsia="Calibri"/>
                <w:b w:val="0"/>
                <w:sz w:val="21"/>
              </w:rPr>
              <w:t>Business and Financial Awareness - Understanding Scope, Billing and Value - Student Pack.docx</w:t>
            </w:r>
          </w:p>
        </w:tc>
      </w:tr>
    </w:tbl>
    <w:p/>
    <w:tbl>
      <w:tblPr>
        <w:tblStyle w:val="TableGrid"/>
        <w:tblW w:type="auto" w:w="0"/>
        <w:jc w:val="center"/>
        <w:tblLook w:firstColumn="1" w:firstRow="1" w:lastColumn="0" w:lastRow="0" w:noHBand="0" w:noVBand="1" w:val="04A0"/>
      </w:tblPr>
      <w:tblGrid>
        <w:gridCol w:w="10282"/>
      </w:tblGrid>
      <w:tr>
        <w:tc>
          <w:tcPr>
            <w:tcW w:type="dxa" w:w="10282"/>
            <w:shd w:fill="DDD3C6"/>
          </w:tcPr>
          <w:p>
            <w:pPr>
              <w:spacing w:after="0" w:before="0"/>
            </w:pPr>
            <w:r/>
            <w:r>
              <w:rPr>
                <w:rFonts w:ascii="Calibri" w:hAnsi="Calibri" w:eastAsia="Calibri"/>
                <w:b/>
                <w:sz w:val="21"/>
              </w:rPr>
              <w:t>Important disclaimer</w:t>
            </w:r>
          </w:p>
        </w:tc>
      </w:tr>
      <w:tr>
        <w:tc>
          <w:tcPr>
            <w:tcW w:type="dxa" w:w="10282"/>
          </w:tcPr>
          <w:p>
            <w:pPr>
              <w:spacing w:after="0" w:before="0"/>
            </w:pPr>
            <w:r>
              <w:rPr>
                <w:sz w:val="21"/>
              </w:rPr>
            </w:r>
            <w:r>
              <w:rPr>
                <w:rFonts w:ascii="Calibri" w:hAnsi="Calibri" w:eastAsia="Calibri"/>
                <w:b w:val="0"/>
                <w:sz w:val="21"/>
              </w:rPr>
              <w:t>Educational and training use only. This pack is not legal advice. It is not intended as a guide to any particular jurisdiction, legal system, regulator, court, firm policy or client matter. The scenario is fictional and framework-neutral. Students must not rely on this material to advise real clients. Any real legal issue must be checked against the applicable law, professional rules and supervisor guidance.</w:t>
            </w:r>
          </w:p>
        </w:tc>
      </w:tr>
    </w:tbl>
    <w:p/>
    <w:p>
      <w:pPr>
        <w:spacing w:before="160" w:after="60"/>
      </w:pPr>
      <w:r>
        <w:rPr>
          <w:rFonts w:ascii="Calibri" w:hAnsi="Calibri" w:eastAsia="Calibri"/>
          <w:b/>
          <w:sz w:val="28"/>
        </w:rPr>
        <w:t>Tutor Use Note</w:t>
      </w:r>
    </w:p>
    <w:p>
      <w:pPr>
        <w:spacing w:after="80" w:line="259" w:lineRule="auto"/>
      </w:pPr>
      <w:r>
        <w:rPr>
          <w:rFonts w:ascii="Calibri" w:hAnsi="Calibri" w:eastAsia="Calibri"/>
          <w:b w:val="0"/>
          <w:i w:val="0"/>
          <w:sz w:val="24"/>
        </w:rPr>
        <w:t>Use this guide alongside the matching student pack. Model answers are not intended to be memorised. They show the standard, structure and practical judgment expected from a strong trainee-style response.</w:t>
      </w:r>
    </w:p>
    <w:p>
      <w:pPr>
        <w:spacing w:after="40"/>
        <w:ind w:left="360" w:hanging="216"/>
      </w:pPr>
      <w:r>
        <w:rPr>
          <w:rFonts w:ascii="Calibri" w:hAnsi="Calibri" w:eastAsia="Calibri"/>
          <w:sz w:val="24"/>
        </w:rPr>
        <w:t xml:space="preserve">• </w:t>
      </w:r>
      <w:r>
        <w:rPr>
          <w:rFonts w:ascii="Calibri" w:hAnsi="Calibri" w:eastAsia="Calibri"/>
          <w:sz w:val="24"/>
        </w:rPr>
        <w:t>Reward careful use of the file, clear caveats and practical next steps.</w:t>
      </w:r>
    </w:p>
    <w:p>
      <w:pPr>
        <w:spacing w:after="40"/>
        <w:ind w:left="360" w:hanging="216"/>
      </w:pPr>
      <w:r>
        <w:rPr>
          <w:rFonts w:ascii="Calibri" w:hAnsi="Calibri" w:eastAsia="Calibri"/>
          <w:sz w:val="24"/>
        </w:rPr>
        <w:t xml:space="preserve">• </w:t>
      </w:r>
      <w:r>
        <w:rPr>
          <w:rFonts w:ascii="Calibri" w:hAnsi="Calibri" w:eastAsia="Calibri"/>
          <w:sz w:val="24"/>
        </w:rPr>
        <w:t>Do not reward confident conclusions that are unsupported by the exhibits.</w:t>
      </w:r>
    </w:p>
    <w:p>
      <w:pPr>
        <w:spacing w:after="40"/>
        <w:ind w:left="360" w:hanging="216"/>
      </w:pPr>
      <w:r>
        <w:rPr>
          <w:rFonts w:ascii="Calibri" w:hAnsi="Calibri" w:eastAsia="Calibri"/>
          <w:sz w:val="24"/>
        </w:rPr>
        <w:t xml:space="preserve">• </w:t>
      </w:r>
      <w:r>
        <w:rPr>
          <w:rFonts w:ascii="Calibri" w:hAnsi="Calibri" w:eastAsia="Calibri"/>
          <w:sz w:val="24"/>
        </w:rPr>
        <w:t>Mark communication quality by clarity, structure and judgment, not by complex vocabulary.</w:t>
      </w:r>
    </w:p>
    <w:p>
      <w:pPr>
        <w:spacing w:after="40"/>
        <w:ind w:left="360" w:hanging="216"/>
      </w:pPr>
      <w:r>
        <w:rPr>
          <w:rFonts w:ascii="Calibri" w:hAnsi="Calibri" w:eastAsia="Calibri"/>
          <w:sz w:val="24"/>
        </w:rPr>
        <w:t xml:space="preserve">• </w:t>
      </w:r>
      <w:r>
        <w:rPr>
          <w:rFonts w:ascii="Calibri" w:hAnsi="Calibri" w:eastAsia="Calibri"/>
          <w:sz w:val="24"/>
        </w:rPr>
        <w:t>Students may speak or write with different accents, language backgrounds and communication styles. Assess professionalism and meaning, not native-speaker fluency.</w:t>
      </w:r>
    </w:p>
    <w:p>
      <w:pPr>
        <w:spacing w:after="40"/>
        <w:ind w:left="360" w:hanging="216"/>
      </w:pPr>
      <w:r>
        <w:rPr>
          <w:rFonts w:ascii="Calibri" w:hAnsi="Calibri" w:eastAsia="Calibri"/>
          <w:sz w:val="24"/>
        </w:rPr>
        <w:t xml:space="preserve">• </w:t>
      </w:r>
      <w:r>
        <w:rPr>
          <w:rFonts w:ascii="Calibri" w:hAnsi="Calibri" w:eastAsia="Calibri"/>
          <w:sz w:val="24"/>
        </w:rPr>
        <w:t>Keep the simulation framework-neutral. Ask students to identify legal verification points rather than assume a jurisdiction.</w:t>
      </w:r>
    </w:p>
    <w:p>
      <w:pPr>
        <w:spacing w:before="160" w:after="60"/>
      </w:pPr>
      <w:r>
        <w:rPr>
          <w:rFonts w:ascii="Calibri" w:hAnsi="Calibri" w:eastAsia="Calibri"/>
          <w:b/>
          <w:sz w:val="28"/>
        </w:rPr>
        <w:t>Matter Snapshot for Tutors</w:t>
      </w:r>
    </w:p>
    <w:p>
      <w:pPr>
        <w:spacing w:after="80" w:line="259" w:lineRule="auto"/>
      </w:pPr>
      <w:r>
        <w:rPr>
          <w:rFonts w:ascii="Calibri" w:hAnsi="Calibri" w:eastAsia="Calibri"/>
          <w:b w:val="0"/>
          <w:i w:val="0"/>
          <w:sz w:val="24"/>
        </w:rPr>
        <w:t>This simulation concerns: Understanding Scope, Billing and Value. The matter type is Client expectations and project scope. Students should treat the file as fictional and use it to practise business and financial awareness in a realistic but educational setting.</w:t>
      </w:r>
    </w:p>
    <w:p>
      <w:pPr>
        <w:spacing w:before="160" w:after="60"/>
      </w:pPr>
      <w:r>
        <w:rPr>
          <w:rFonts w:ascii="Calibri" w:hAnsi="Calibri" w:eastAsia="Calibri"/>
          <w:b/>
          <w:sz w:val="28"/>
        </w:rPr>
        <w:t>Primary Issues to Watch</w:t>
      </w:r>
    </w:p>
    <w:p>
      <w:pPr>
        <w:spacing w:after="40"/>
        <w:ind w:left="360" w:hanging="216"/>
      </w:pPr>
      <w:r>
        <w:rPr>
          <w:rFonts w:ascii="Calibri" w:hAnsi="Calibri" w:eastAsia="Calibri"/>
          <w:sz w:val="24"/>
        </w:rPr>
        <w:t xml:space="preserve">• </w:t>
      </w:r>
      <w:r>
        <w:rPr>
          <w:rFonts w:ascii="Calibri" w:hAnsi="Calibri" w:eastAsia="Calibri"/>
          <w:sz w:val="24"/>
        </w:rPr>
        <w:t>scope creep</w:t>
      </w:r>
    </w:p>
    <w:p>
      <w:pPr>
        <w:spacing w:after="40"/>
        <w:ind w:left="360" w:hanging="216"/>
      </w:pPr>
      <w:r>
        <w:rPr>
          <w:rFonts w:ascii="Calibri" w:hAnsi="Calibri" w:eastAsia="Calibri"/>
          <w:sz w:val="24"/>
        </w:rPr>
        <w:t xml:space="preserve">• </w:t>
      </w:r>
      <w:r>
        <w:rPr>
          <w:rFonts w:ascii="Calibri" w:hAnsi="Calibri" w:eastAsia="Calibri"/>
          <w:sz w:val="24"/>
        </w:rPr>
        <w:t>fees</w:t>
      </w:r>
    </w:p>
    <w:p>
      <w:pPr>
        <w:spacing w:after="40"/>
        <w:ind w:left="360" w:hanging="216"/>
      </w:pPr>
      <w:r>
        <w:rPr>
          <w:rFonts w:ascii="Calibri" w:hAnsi="Calibri" w:eastAsia="Calibri"/>
          <w:sz w:val="24"/>
        </w:rPr>
        <w:t xml:space="preserve">• </w:t>
      </w:r>
      <w:r>
        <w:rPr>
          <w:rFonts w:ascii="Calibri" w:hAnsi="Calibri" w:eastAsia="Calibri"/>
          <w:sz w:val="24"/>
        </w:rPr>
        <w:t>capacity</w:t>
      </w:r>
    </w:p>
    <w:p>
      <w:pPr>
        <w:spacing w:after="40"/>
        <w:ind w:left="360" w:hanging="216"/>
      </w:pPr>
      <w:r>
        <w:rPr>
          <w:rFonts w:ascii="Calibri" w:hAnsi="Calibri" w:eastAsia="Calibri"/>
          <w:sz w:val="24"/>
        </w:rPr>
        <w:t xml:space="preserve">• </w:t>
      </w:r>
      <w:r>
        <w:rPr>
          <w:rFonts w:ascii="Calibri" w:hAnsi="Calibri" w:eastAsia="Calibri"/>
          <w:sz w:val="24"/>
        </w:rPr>
        <w:t>client value</w:t>
      </w:r>
    </w:p>
    <w:p>
      <w:pPr>
        <w:spacing w:after="40"/>
        <w:ind w:left="360" w:hanging="216"/>
      </w:pPr>
      <w:r>
        <w:rPr>
          <w:rFonts w:ascii="Calibri" w:hAnsi="Calibri" w:eastAsia="Calibri"/>
          <w:sz w:val="24"/>
        </w:rPr>
        <w:t xml:space="preserve">• </w:t>
      </w:r>
      <w:r>
        <w:rPr>
          <w:rFonts w:ascii="Calibri" w:hAnsi="Calibri" w:eastAsia="Calibri"/>
          <w:sz w:val="24"/>
        </w:rPr>
        <w:t>transparency</w:t>
      </w:r>
    </w:p>
    <w:p>
      <w:pPr>
        <w:spacing w:before="160" w:after="60"/>
      </w:pPr>
      <w:r>
        <w:rPr>
          <w:rFonts w:ascii="Calibri" w:hAnsi="Calibri" w:eastAsia="Calibri"/>
          <w:b/>
          <w:sz w:val="28"/>
        </w:rPr>
        <w:t>Relevant Student Exhibits</w:t>
      </w:r>
    </w:p>
    <w:tbl>
      <w:tblPr>
        <w:tblStyle w:val="TableGrid"/>
        <w:tblW w:type="auto" w:w="0"/>
        <w:jc w:val="center"/>
        <w:tblLook w:firstColumn="1" w:firstRow="1" w:lastColumn="0" w:lastRow="0" w:noHBand="0" w:noVBand="1" w:val="04A0"/>
      </w:tblPr>
      <w:tblGrid>
        <w:gridCol w:w="3427"/>
        <w:gridCol w:w="3427"/>
        <w:gridCol w:w="3427"/>
      </w:tblGrid>
      <w:tr>
        <w:tc>
          <w:tcPr>
            <w:tcW w:type="dxa" w:w="1008"/>
            <w:vAlign w:val="top"/>
            <w:shd w:fill="DDD3C6"/>
          </w:tcPr>
          <w:p>
            <w:pPr>
              <w:spacing w:after="0" w:before="0"/>
            </w:pPr>
            <w:r/>
            <w:r>
              <w:rPr>
                <w:rFonts w:ascii="Calibri" w:hAnsi="Calibri" w:eastAsia="Calibri"/>
                <w:b/>
                <w:sz w:val="21"/>
              </w:rPr>
              <w:t>Exhibit</w:t>
            </w:r>
          </w:p>
        </w:tc>
        <w:tc>
          <w:tcPr>
            <w:tcW w:type="dxa" w:w="3456"/>
            <w:vAlign w:val="top"/>
            <w:shd w:fill="DDD3C6"/>
          </w:tcPr>
          <w:p>
            <w:pPr>
              <w:spacing w:after="0" w:before="0"/>
            </w:pPr>
            <w:r/>
            <w:r>
              <w:rPr>
                <w:rFonts w:ascii="Calibri" w:hAnsi="Calibri" w:eastAsia="Calibri"/>
                <w:b/>
                <w:sz w:val="21"/>
              </w:rPr>
              <w:t>Document</w:t>
            </w:r>
          </w:p>
        </w:tc>
        <w:tc>
          <w:tcPr>
            <w:tcW w:type="dxa" w:w="5472"/>
            <w:vAlign w:val="top"/>
            <w:shd w:fill="DDD3C6"/>
          </w:tcPr>
          <w:p>
            <w:pPr>
              <w:spacing w:after="0" w:before="0"/>
            </w:pPr>
            <w:r/>
            <w:r>
              <w:rPr>
                <w:rFonts w:ascii="Calibri" w:hAnsi="Calibri" w:eastAsia="Calibri"/>
                <w:b/>
                <w:sz w:val="21"/>
              </w:rPr>
              <w:t>Tutor focus</w:t>
            </w:r>
          </w:p>
        </w:tc>
      </w:tr>
      <w:tr>
        <w:tc>
          <w:tcPr>
            <w:tcW w:type="dxa" w:w="1008"/>
            <w:vAlign w:val="top"/>
          </w:tcPr>
          <w:p>
            <w:pPr>
              <w:spacing w:after="0" w:before="0"/>
            </w:pPr>
            <w:r/>
            <w:r>
              <w:rPr>
                <w:rFonts w:ascii="Calibri" w:hAnsi="Calibri" w:eastAsia="Calibri"/>
                <w:b w:val="0"/>
                <w:sz w:val="21"/>
              </w:rPr>
              <w:t>1</w:t>
            </w:r>
          </w:p>
        </w:tc>
        <w:tc>
          <w:tcPr>
            <w:tcW w:type="dxa" w:w="3456"/>
            <w:vAlign w:val="top"/>
          </w:tcPr>
          <w:p>
            <w:pPr>
              <w:spacing w:after="0" w:before="0"/>
            </w:pPr>
            <w:r/>
            <w:r>
              <w:rPr>
                <w:rFonts w:ascii="Calibri" w:hAnsi="Calibri" w:eastAsia="Calibri"/>
                <w:b w:val="0"/>
                <w:sz w:val="21"/>
              </w:rPr>
              <w:t>Client message</w:t>
            </w:r>
          </w:p>
        </w:tc>
        <w:tc>
          <w:tcPr>
            <w:tcW w:type="dxa" w:w="5472"/>
            <w:vAlign w:val="top"/>
          </w:tcPr>
          <w:p>
            <w:pPr>
              <w:spacing w:after="0" w:before="0"/>
            </w:pPr>
            <w:r/>
            <w:r>
              <w:rPr>
                <w:rFonts w:ascii="Calibri" w:hAnsi="Calibri" w:eastAsia="Calibri"/>
                <w:b w:val="0"/>
                <w:sz w:val="21"/>
              </w:rPr>
              <w:t>How this evidence affects business and financial awareness and practical next steps.</w:t>
            </w:r>
          </w:p>
        </w:tc>
      </w:tr>
      <w:tr>
        <w:tc>
          <w:tcPr>
            <w:tcW w:type="dxa" w:w="1008"/>
            <w:vAlign w:val="top"/>
          </w:tcPr>
          <w:p>
            <w:pPr>
              <w:spacing w:after="0" w:before="0"/>
            </w:pPr>
            <w:r/>
            <w:r>
              <w:rPr>
                <w:rFonts w:ascii="Calibri" w:hAnsi="Calibri" w:eastAsia="Calibri"/>
                <w:b w:val="0"/>
                <w:sz w:val="21"/>
              </w:rPr>
              <w:t>2</w:t>
            </w:r>
          </w:p>
        </w:tc>
        <w:tc>
          <w:tcPr>
            <w:tcW w:type="dxa" w:w="3456"/>
            <w:vAlign w:val="top"/>
          </w:tcPr>
          <w:p>
            <w:pPr>
              <w:spacing w:after="0" w:before="0"/>
            </w:pPr>
            <w:r/>
            <w:r>
              <w:rPr>
                <w:rFonts w:ascii="Calibri" w:hAnsi="Calibri" w:eastAsia="Calibri"/>
                <w:b w:val="0"/>
                <w:sz w:val="21"/>
              </w:rPr>
              <w:t>Document list</w:t>
            </w:r>
          </w:p>
        </w:tc>
        <w:tc>
          <w:tcPr>
            <w:tcW w:type="dxa" w:w="5472"/>
            <w:vAlign w:val="top"/>
          </w:tcPr>
          <w:p>
            <w:pPr>
              <w:spacing w:after="0" w:before="0"/>
            </w:pPr>
            <w:r/>
            <w:r>
              <w:rPr>
                <w:rFonts w:ascii="Calibri" w:hAnsi="Calibri" w:eastAsia="Calibri"/>
                <w:b w:val="0"/>
                <w:sz w:val="21"/>
              </w:rPr>
              <w:t>How this evidence affects business and financial awareness and practical next steps.</w:t>
            </w:r>
          </w:p>
        </w:tc>
      </w:tr>
      <w:tr>
        <w:tc>
          <w:tcPr>
            <w:tcW w:type="dxa" w:w="1008"/>
            <w:vAlign w:val="top"/>
          </w:tcPr>
          <w:p>
            <w:pPr>
              <w:spacing w:after="0" w:before="0"/>
            </w:pPr>
            <w:r/>
            <w:r>
              <w:rPr>
                <w:rFonts w:ascii="Calibri" w:hAnsi="Calibri" w:eastAsia="Calibri"/>
                <w:b w:val="0"/>
                <w:sz w:val="21"/>
              </w:rPr>
              <w:t>3</w:t>
            </w:r>
          </w:p>
        </w:tc>
        <w:tc>
          <w:tcPr>
            <w:tcW w:type="dxa" w:w="3456"/>
            <w:vAlign w:val="top"/>
          </w:tcPr>
          <w:p>
            <w:pPr>
              <w:spacing w:after="0" w:before="0"/>
            </w:pPr>
            <w:r/>
            <w:r>
              <w:rPr>
                <w:rFonts w:ascii="Calibri" w:hAnsi="Calibri" w:eastAsia="Calibri"/>
                <w:b w:val="0"/>
                <w:sz w:val="21"/>
              </w:rPr>
              <w:t>Budget note</w:t>
            </w:r>
          </w:p>
        </w:tc>
        <w:tc>
          <w:tcPr>
            <w:tcW w:type="dxa" w:w="5472"/>
            <w:vAlign w:val="top"/>
          </w:tcPr>
          <w:p>
            <w:pPr>
              <w:spacing w:after="0" w:before="0"/>
            </w:pPr>
            <w:r/>
            <w:r>
              <w:rPr>
                <w:rFonts w:ascii="Calibri" w:hAnsi="Calibri" w:eastAsia="Calibri"/>
                <w:b w:val="0"/>
                <w:sz w:val="21"/>
              </w:rPr>
              <w:t>How this evidence affects business and financial awareness and practical next steps.</w:t>
            </w:r>
          </w:p>
        </w:tc>
      </w:tr>
      <w:tr>
        <w:tc>
          <w:tcPr>
            <w:tcW w:type="dxa" w:w="1008"/>
            <w:vAlign w:val="top"/>
          </w:tcPr>
          <w:p>
            <w:pPr>
              <w:spacing w:after="0" w:before="0"/>
            </w:pPr>
            <w:r/>
            <w:r>
              <w:rPr>
                <w:rFonts w:ascii="Calibri" w:hAnsi="Calibri" w:eastAsia="Calibri"/>
                <w:b w:val="0"/>
                <w:sz w:val="21"/>
              </w:rPr>
              <w:t>4</w:t>
            </w:r>
          </w:p>
        </w:tc>
        <w:tc>
          <w:tcPr>
            <w:tcW w:type="dxa" w:w="3456"/>
            <w:vAlign w:val="top"/>
          </w:tcPr>
          <w:p>
            <w:pPr>
              <w:spacing w:after="0" w:before="0"/>
            </w:pPr>
            <w:r/>
            <w:r>
              <w:rPr>
                <w:rFonts w:ascii="Calibri" w:hAnsi="Calibri" w:eastAsia="Calibri"/>
                <w:b w:val="0"/>
                <w:sz w:val="21"/>
              </w:rPr>
              <w:t>Team capacity note</w:t>
            </w:r>
          </w:p>
        </w:tc>
        <w:tc>
          <w:tcPr>
            <w:tcW w:type="dxa" w:w="5472"/>
            <w:vAlign w:val="top"/>
          </w:tcPr>
          <w:p>
            <w:pPr>
              <w:spacing w:after="0" w:before="0"/>
            </w:pPr>
            <w:r/>
            <w:r>
              <w:rPr>
                <w:rFonts w:ascii="Calibri" w:hAnsi="Calibri" w:eastAsia="Calibri"/>
                <w:b w:val="0"/>
                <w:sz w:val="21"/>
              </w:rPr>
              <w:t>How this evidence affects business and financial awareness and practical next steps.</w:t>
            </w:r>
          </w:p>
        </w:tc>
      </w:tr>
      <w:tr>
        <w:tc>
          <w:tcPr>
            <w:tcW w:type="dxa" w:w="1008"/>
            <w:vAlign w:val="top"/>
          </w:tcPr>
          <w:p>
            <w:pPr>
              <w:spacing w:after="0" w:before="0"/>
            </w:pPr>
            <w:r/>
            <w:r>
              <w:rPr>
                <w:rFonts w:ascii="Calibri" w:hAnsi="Calibri" w:eastAsia="Calibri"/>
                <w:b w:val="0"/>
                <w:sz w:val="21"/>
              </w:rPr>
              <w:t>5</w:t>
            </w:r>
          </w:p>
        </w:tc>
        <w:tc>
          <w:tcPr>
            <w:tcW w:type="dxa" w:w="3456"/>
            <w:vAlign w:val="top"/>
          </w:tcPr>
          <w:p>
            <w:pPr>
              <w:spacing w:after="0" w:before="0"/>
            </w:pPr>
            <w:r/>
            <w:r>
              <w:rPr>
                <w:rFonts w:ascii="Calibri" w:hAnsi="Calibri" w:eastAsia="Calibri"/>
                <w:b w:val="0"/>
                <w:sz w:val="21"/>
              </w:rPr>
              <w:t>Draft response</w:t>
            </w:r>
          </w:p>
        </w:tc>
        <w:tc>
          <w:tcPr>
            <w:tcW w:type="dxa" w:w="5472"/>
            <w:vAlign w:val="top"/>
          </w:tcPr>
          <w:p>
            <w:pPr>
              <w:spacing w:after="0" w:before="0"/>
            </w:pPr>
            <w:r/>
            <w:r>
              <w:rPr>
                <w:rFonts w:ascii="Calibri" w:hAnsi="Calibri" w:eastAsia="Calibri"/>
                <w:b w:val="0"/>
                <w:sz w:val="21"/>
              </w:rPr>
              <w:t>How this evidence affects business and financial awareness and practical next steps.</w:t>
            </w:r>
          </w:p>
        </w:tc>
      </w:tr>
    </w:tbl>
    <w:p/>
    <w:p>
      <w:pPr>
        <w:spacing w:before="160" w:after="60"/>
      </w:pPr>
      <w:r>
        <w:rPr>
          <w:rFonts w:ascii="Calibri" w:hAnsi="Calibri" w:eastAsia="Calibri"/>
          <w:b/>
          <w:sz w:val="28"/>
        </w:rPr>
        <w:t>Marking Rubric</w:t>
      </w:r>
    </w:p>
    <w:tbl>
      <w:tblPr>
        <w:tblStyle w:val="TableGrid"/>
        <w:tblW w:type="auto" w:w="0"/>
        <w:jc w:val="center"/>
        <w:tblLook w:firstColumn="1" w:firstRow="1" w:lastColumn="0" w:lastRow="0" w:noHBand="0" w:noVBand="1" w:val="04A0"/>
      </w:tblPr>
      <w:tblGrid>
        <w:gridCol w:w="3427"/>
        <w:gridCol w:w="3427"/>
        <w:gridCol w:w="3427"/>
      </w:tblGrid>
      <w:tr>
        <w:tc>
          <w:tcPr>
            <w:tcW w:type="dxa" w:w="2880"/>
            <w:vAlign w:val="top"/>
            <w:shd w:fill="DDD3C6"/>
          </w:tcPr>
          <w:p>
            <w:pPr>
              <w:spacing w:after="0" w:before="0"/>
            </w:pPr>
            <w:r/>
            <w:r>
              <w:rPr>
                <w:rFonts w:ascii="Calibri" w:hAnsi="Calibri" w:eastAsia="Calibri"/>
                <w:b/>
                <w:sz w:val="21"/>
              </w:rPr>
              <w:t>Assessment area</w:t>
            </w:r>
          </w:p>
        </w:tc>
        <w:tc>
          <w:tcPr>
            <w:tcW w:type="dxa" w:w="1440"/>
            <w:vAlign w:val="top"/>
            <w:shd w:fill="DDD3C6"/>
          </w:tcPr>
          <w:p>
            <w:pPr>
              <w:spacing w:after="0" w:before="0"/>
            </w:pPr>
            <w:r/>
            <w:r>
              <w:rPr>
                <w:rFonts w:ascii="Calibri" w:hAnsi="Calibri" w:eastAsia="Calibri"/>
                <w:b/>
                <w:sz w:val="21"/>
              </w:rPr>
              <w:t>Weighting</w:t>
            </w:r>
          </w:p>
        </w:tc>
        <w:tc>
          <w:tcPr>
            <w:tcW w:type="dxa" w:w="5760"/>
            <w:vAlign w:val="top"/>
            <w:shd w:fill="DDD3C6"/>
          </w:tcPr>
          <w:p>
            <w:pPr>
              <w:spacing w:after="0" w:before="0"/>
            </w:pPr>
            <w:r/>
            <w:r>
              <w:rPr>
                <w:rFonts w:ascii="Calibri" w:hAnsi="Calibri" w:eastAsia="Calibri"/>
                <w:b/>
                <w:sz w:val="21"/>
              </w:rPr>
              <w:t>What to look for</w:t>
            </w:r>
          </w:p>
        </w:tc>
      </w:tr>
      <w:tr>
        <w:tc>
          <w:tcPr>
            <w:tcW w:type="dxa" w:w="2880"/>
            <w:vAlign w:val="top"/>
          </w:tcPr>
          <w:p>
            <w:pPr>
              <w:spacing w:after="0" w:before="0"/>
            </w:pPr>
            <w:r/>
            <w:r>
              <w:rPr>
                <w:rFonts w:ascii="Calibri" w:hAnsi="Calibri" w:eastAsia="Calibri"/>
                <w:b w:val="0"/>
                <w:sz w:val="21"/>
              </w:rPr>
              <w:t>Issue spotting</w:t>
            </w:r>
          </w:p>
        </w:tc>
        <w:tc>
          <w:tcPr>
            <w:tcW w:type="dxa" w:w="1440"/>
            <w:vAlign w:val="top"/>
          </w:tcPr>
          <w:p>
            <w:pPr>
              <w:spacing w:after="0" w:before="0"/>
            </w:pPr>
            <w:r/>
            <w:r>
              <w:rPr>
                <w:rFonts w:ascii="Calibri" w:hAnsi="Calibri" w:eastAsia="Calibri"/>
                <w:b w:val="0"/>
                <w:sz w:val="21"/>
              </w:rPr>
              <w:t>20%</w:t>
            </w:r>
          </w:p>
        </w:tc>
        <w:tc>
          <w:tcPr>
            <w:tcW w:type="dxa" w:w="5760"/>
            <w:vAlign w:val="top"/>
          </w:tcPr>
          <w:p>
            <w:pPr>
              <w:spacing w:after="0" w:before="0"/>
            </w:pPr>
            <w:r/>
            <w:r>
              <w:rPr>
                <w:rFonts w:ascii="Calibri" w:hAnsi="Calibri" w:eastAsia="Calibri"/>
                <w:b w:val="0"/>
                <w:sz w:val="21"/>
              </w:rPr>
              <w:t>Identifies legal, commercial and practical issues.</w:t>
            </w:r>
          </w:p>
        </w:tc>
      </w:tr>
      <w:tr>
        <w:tc>
          <w:tcPr>
            <w:tcW w:type="dxa" w:w="2880"/>
            <w:vAlign w:val="top"/>
          </w:tcPr>
          <w:p>
            <w:pPr>
              <w:spacing w:after="0" w:before="0"/>
            </w:pPr>
            <w:r/>
            <w:r>
              <w:rPr>
                <w:rFonts w:ascii="Calibri" w:hAnsi="Calibri" w:eastAsia="Calibri"/>
                <w:b w:val="0"/>
                <w:sz w:val="21"/>
              </w:rPr>
              <w:t>Business context</w:t>
            </w:r>
          </w:p>
        </w:tc>
        <w:tc>
          <w:tcPr>
            <w:tcW w:type="dxa" w:w="1440"/>
            <w:vAlign w:val="top"/>
          </w:tcPr>
          <w:p>
            <w:pPr>
              <w:spacing w:after="0" w:before="0"/>
            </w:pPr>
            <w:r/>
            <w:r>
              <w:rPr>
                <w:rFonts w:ascii="Calibri" w:hAnsi="Calibri" w:eastAsia="Calibri"/>
                <w:b w:val="0"/>
                <w:sz w:val="21"/>
              </w:rPr>
              <w:t>25%</w:t>
            </w:r>
          </w:p>
        </w:tc>
        <w:tc>
          <w:tcPr>
            <w:tcW w:type="dxa" w:w="5760"/>
            <w:vAlign w:val="top"/>
          </w:tcPr>
          <w:p>
            <w:pPr>
              <w:spacing w:after="0" w:before="0"/>
            </w:pPr>
            <w:r/>
            <w:r>
              <w:rPr>
                <w:rFonts w:ascii="Calibri" w:hAnsi="Calibri" w:eastAsia="Calibri"/>
                <w:b w:val="0"/>
                <w:sz w:val="21"/>
              </w:rPr>
              <w:t>Connects legal risk to business goals and trade-offs.</w:t>
            </w:r>
          </w:p>
        </w:tc>
      </w:tr>
      <w:tr>
        <w:tc>
          <w:tcPr>
            <w:tcW w:type="dxa" w:w="2880"/>
            <w:vAlign w:val="top"/>
          </w:tcPr>
          <w:p>
            <w:pPr>
              <w:spacing w:after="0" w:before="0"/>
            </w:pPr>
            <w:r/>
            <w:r>
              <w:rPr>
                <w:rFonts w:ascii="Calibri" w:hAnsi="Calibri" w:eastAsia="Calibri"/>
                <w:b w:val="0"/>
                <w:sz w:val="21"/>
              </w:rPr>
              <w:t>Evidence and uncertainty</w:t>
            </w:r>
          </w:p>
        </w:tc>
        <w:tc>
          <w:tcPr>
            <w:tcW w:type="dxa" w:w="1440"/>
            <w:vAlign w:val="top"/>
          </w:tcPr>
          <w:p>
            <w:pPr>
              <w:spacing w:after="0" w:before="0"/>
            </w:pPr>
            <w:r/>
            <w:r>
              <w:rPr>
                <w:rFonts w:ascii="Calibri" w:hAnsi="Calibri" w:eastAsia="Calibri"/>
                <w:b w:val="0"/>
                <w:sz w:val="21"/>
              </w:rPr>
              <w:t>20%</w:t>
            </w:r>
          </w:p>
        </w:tc>
        <w:tc>
          <w:tcPr>
            <w:tcW w:type="dxa" w:w="5760"/>
            <w:vAlign w:val="top"/>
          </w:tcPr>
          <w:p>
            <w:pPr>
              <w:spacing w:after="0" w:before="0"/>
            </w:pPr>
            <w:r/>
            <w:r>
              <w:rPr>
                <w:rFonts w:ascii="Calibri" w:hAnsi="Calibri" w:eastAsia="Calibri"/>
                <w:b w:val="0"/>
                <w:sz w:val="21"/>
              </w:rPr>
              <w:t>Separates facts, assumptions and missing information.</w:t>
            </w:r>
          </w:p>
        </w:tc>
      </w:tr>
      <w:tr>
        <w:tc>
          <w:tcPr>
            <w:tcW w:type="dxa" w:w="2880"/>
            <w:vAlign w:val="top"/>
          </w:tcPr>
          <w:p>
            <w:pPr>
              <w:spacing w:after="0" w:before="0"/>
            </w:pPr>
            <w:r/>
            <w:r>
              <w:rPr>
                <w:rFonts w:ascii="Calibri" w:hAnsi="Calibri" w:eastAsia="Calibri"/>
                <w:b w:val="0"/>
                <w:sz w:val="21"/>
              </w:rPr>
              <w:t>Recommendation quality</w:t>
            </w:r>
          </w:p>
        </w:tc>
        <w:tc>
          <w:tcPr>
            <w:tcW w:type="dxa" w:w="1440"/>
            <w:vAlign w:val="top"/>
          </w:tcPr>
          <w:p>
            <w:pPr>
              <w:spacing w:after="0" w:before="0"/>
            </w:pPr>
            <w:r/>
            <w:r>
              <w:rPr>
                <w:rFonts w:ascii="Calibri" w:hAnsi="Calibri" w:eastAsia="Calibri"/>
                <w:b w:val="0"/>
                <w:sz w:val="21"/>
              </w:rPr>
              <w:t>20%</w:t>
            </w:r>
          </w:p>
        </w:tc>
        <w:tc>
          <w:tcPr>
            <w:tcW w:type="dxa" w:w="5760"/>
            <w:vAlign w:val="top"/>
          </w:tcPr>
          <w:p>
            <w:pPr>
              <w:spacing w:after="0" w:before="0"/>
            </w:pPr>
            <w:r/>
            <w:r>
              <w:rPr>
                <w:rFonts w:ascii="Calibri" w:hAnsi="Calibri" w:eastAsia="Calibri"/>
                <w:b w:val="0"/>
                <w:sz w:val="21"/>
              </w:rPr>
              <w:t>Practical options and prioritised next steps.</w:t>
            </w:r>
          </w:p>
        </w:tc>
      </w:tr>
      <w:tr>
        <w:tc>
          <w:tcPr>
            <w:tcW w:type="dxa" w:w="2880"/>
            <w:vAlign w:val="top"/>
          </w:tcPr>
          <w:p>
            <w:pPr>
              <w:spacing w:after="0" w:before="0"/>
            </w:pPr>
            <w:r/>
            <w:r>
              <w:rPr>
                <w:rFonts w:ascii="Calibri" w:hAnsi="Calibri" w:eastAsia="Calibri"/>
                <w:b w:val="0"/>
                <w:sz w:val="21"/>
              </w:rPr>
              <w:t>Plain English</w:t>
            </w:r>
          </w:p>
        </w:tc>
        <w:tc>
          <w:tcPr>
            <w:tcW w:type="dxa" w:w="1440"/>
            <w:vAlign w:val="top"/>
          </w:tcPr>
          <w:p>
            <w:pPr>
              <w:spacing w:after="0" w:before="0"/>
            </w:pPr>
            <w:r/>
            <w:r>
              <w:rPr>
                <w:rFonts w:ascii="Calibri" w:hAnsi="Calibri" w:eastAsia="Calibri"/>
                <w:b w:val="0"/>
                <w:sz w:val="21"/>
              </w:rPr>
              <w:t>15%</w:t>
            </w:r>
          </w:p>
        </w:tc>
        <w:tc>
          <w:tcPr>
            <w:tcW w:type="dxa" w:w="5760"/>
            <w:vAlign w:val="top"/>
          </w:tcPr>
          <w:p>
            <w:pPr>
              <w:spacing w:after="0" w:before="0"/>
            </w:pPr>
            <w:r/>
            <w:r>
              <w:rPr>
                <w:rFonts w:ascii="Calibri" w:hAnsi="Calibri" w:eastAsia="Calibri"/>
                <w:b w:val="0"/>
                <w:sz w:val="21"/>
              </w:rPr>
              <w:t>Accessible language for non-lawyer audiences.</w:t>
            </w:r>
          </w:p>
        </w:tc>
      </w:tr>
    </w:tbl>
    <w:p/>
    <w:p>
      <w:pPr>
        <w:spacing w:before="160" w:after="60"/>
      </w:pPr>
      <w:r>
        <w:rPr>
          <w:rFonts w:ascii="Calibri" w:hAnsi="Calibri" w:eastAsia="Calibri"/>
          <w:b/>
          <w:sz w:val="28"/>
        </w:rPr>
        <w:t>Expected Strong Answer Points</w:t>
      </w:r>
    </w:p>
    <w:p>
      <w:pPr>
        <w:spacing w:after="40"/>
        <w:ind w:left="360" w:hanging="216"/>
      </w:pPr>
      <w:r>
        <w:rPr>
          <w:rFonts w:ascii="Calibri" w:hAnsi="Calibri" w:eastAsia="Calibri"/>
          <w:sz w:val="24"/>
        </w:rPr>
        <w:t xml:space="preserve">• </w:t>
      </w:r>
      <w:r>
        <w:rPr>
          <w:rFonts w:ascii="Calibri" w:hAnsi="Calibri" w:eastAsia="Calibri"/>
          <w:sz w:val="24"/>
        </w:rPr>
        <w:t>A strong answer defines what can be reviewed within the available time.</w:t>
      </w:r>
    </w:p>
    <w:p>
      <w:pPr>
        <w:spacing w:after="40"/>
        <w:ind w:left="360" w:hanging="216"/>
      </w:pPr>
      <w:r>
        <w:rPr>
          <w:rFonts w:ascii="Calibri" w:hAnsi="Calibri" w:eastAsia="Calibri"/>
          <w:sz w:val="24"/>
        </w:rPr>
        <w:t xml:space="preserve">• </w:t>
      </w:r>
      <w:r>
        <w:rPr>
          <w:rFonts w:ascii="Calibri" w:hAnsi="Calibri" w:eastAsia="Calibri"/>
          <w:sz w:val="24"/>
        </w:rPr>
        <w:t>The student should not promise a full review of all documents.</w:t>
      </w:r>
    </w:p>
    <w:p>
      <w:pPr>
        <w:spacing w:after="40"/>
        <w:ind w:left="360" w:hanging="216"/>
      </w:pPr>
      <w:r>
        <w:rPr>
          <w:rFonts w:ascii="Calibri" w:hAnsi="Calibri" w:eastAsia="Calibri"/>
          <w:sz w:val="24"/>
        </w:rPr>
        <w:t xml:space="preserve">• </w:t>
      </w:r>
      <w:r>
        <w:rPr>
          <w:rFonts w:ascii="Calibri" w:hAnsi="Calibri" w:eastAsia="Calibri"/>
          <w:sz w:val="24"/>
        </w:rPr>
        <w:t>The client should be invited to prioritise what matters most.</w:t>
      </w:r>
    </w:p>
    <w:p>
      <w:pPr>
        <w:spacing w:after="40"/>
        <w:ind w:left="360" w:hanging="216"/>
      </w:pPr>
      <w:r>
        <w:rPr>
          <w:rFonts w:ascii="Calibri" w:hAnsi="Calibri" w:eastAsia="Calibri"/>
          <w:sz w:val="24"/>
        </w:rPr>
        <w:t xml:space="preserve">• </w:t>
      </w:r>
      <w:r>
        <w:rPr>
          <w:rFonts w:ascii="Calibri" w:hAnsi="Calibri" w:eastAsia="Calibri"/>
          <w:sz w:val="24"/>
        </w:rPr>
        <w:t>The explanation should be clear and not overly commercial.</w:t>
      </w:r>
    </w:p>
    <w:p>
      <w:pPr>
        <w:spacing w:before="160" w:after="60"/>
      </w:pPr>
      <w:r>
        <w:rPr>
          <w:rFonts w:ascii="Calibri" w:hAnsi="Calibri" w:eastAsia="Calibri"/>
          <w:b/>
          <w:sz w:val="28"/>
        </w:rPr>
        <w:t>Question-by-Question Guidance</w:t>
      </w:r>
    </w:p>
    <w:p>
      <w:pPr>
        <w:spacing w:after="80" w:line="259" w:lineRule="auto"/>
      </w:pPr>
      <w:r>
        <w:rPr>
          <w:rFonts w:ascii="Calibri" w:hAnsi="Calibri" w:eastAsia="Calibri"/>
          <w:b/>
          <w:i w:val="0"/>
          <w:sz w:val="24"/>
        </w:rPr>
        <w:t>Question 1: Identify why the phrase 'quick review' is unclear.</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2: List documents and possible complexity.</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3: Draft plain English scope wording.</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4: Prepare questions about budget and priorities.</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5: Explain why scope clarity helps the client.</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6: Reflect on how unclear fees can harm trust.</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before="160" w:after="60"/>
      </w:pPr>
      <w:r>
        <w:rPr>
          <w:rFonts w:ascii="Calibri" w:hAnsi="Calibri" w:eastAsia="Calibri"/>
          <w:b/>
          <w:sz w:val="28"/>
        </w:rPr>
        <w:t>Model Output Structure</w:t>
      </w:r>
    </w:p>
    <w:p>
      <w:pPr>
        <w:spacing w:after="80" w:line="259" w:lineRule="auto"/>
      </w:pPr>
      <w:r>
        <w:rPr>
          <w:rFonts w:ascii="Calibri" w:hAnsi="Calibri" w:eastAsia="Calibri"/>
          <w:b/>
          <w:i w:val="0"/>
          <w:sz w:val="24"/>
        </w:rPr>
        <w:t>Scope conversation plan</w:t>
      </w:r>
    </w:p>
    <w:p>
      <w:pPr>
        <w:spacing w:after="40"/>
        <w:ind w:left="360" w:hanging="216"/>
      </w:pPr>
      <w:r>
        <w:rPr>
          <w:rFonts w:ascii="Calibri" w:hAnsi="Calibri" w:eastAsia="Calibri"/>
          <w:sz w:val="24"/>
        </w:rPr>
        <w:t xml:space="preserve">• </w:t>
      </w:r>
      <w:r>
        <w:rPr>
          <w:rFonts w:ascii="Calibri" w:hAnsi="Calibri" w:eastAsia="Calibri"/>
          <w:sz w:val="24"/>
        </w:rPr>
        <w:t>Purpose: What to clarify with the client.</w:t>
      </w:r>
    </w:p>
    <w:p>
      <w:pPr>
        <w:spacing w:after="40"/>
        <w:ind w:left="360" w:hanging="216"/>
      </w:pPr>
      <w:r>
        <w:rPr>
          <w:rFonts w:ascii="Calibri" w:hAnsi="Calibri" w:eastAsia="Calibri"/>
          <w:sz w:val="24"/>
        </w:rPr>
        <w:t xml:space="preserve">• </w:t>
      </w:r>
      <w:r>
        <w:rPr>
          <w:rFonts w:ascii="Calibri" w:hAnsi="Calibri" w:eastAsia="Calibri"/>
          <w:sz w:val="24"/>
        </w:rPr>
        <w:t>Standard: Must be respectful and transparent.</w:t>
      </w:r>
    </w:p>
    <w:p>
      <w:pPr>
        <w:spacing w:after="40"/>
        <w:ind w:left="360" w:hanging="216"/>
      </w:pPr>
      <w:r>
        <w:rPr>
          <w:rFonts w:ascii="Calibri" w:hAnsi="Calibri" w:eastAsia="Calibri"/>
          <w:sz w:val="24"/>
        </w:rPr>
        <w:t xml:space="preserve">• </w:t>
      </w:r>
      <w:r>
        <w:rPr>
          <w:rFonts w:ascii="Calibri" w:hAnsi="Calibri" w:eastAsia="Calibri"/>
          <w:sz w:val="24"/>
        </w:rPr>
        <w:t>Good answers should be concise, specific, careful and useful to the intended reader.</w:t>
      </w:r>
    </w:p>
    <w:p>
      <w:pPr>
        <w:spacing w:after="80" w:line="259" w:lineRule="auto"/>
      </w:pPr>
      <w:r>
        <w:rPr>
          <w:rFonts w:ascii="Calibri" w:hAnsi="Calibri" w:eastAsia="Calibri"/>
          <w:b/>
          <w:i w:val="0"/>
          <w:sz w:val="24"/>
        </w:rPr>
        <w:t>Included/excluded table</w:t>
      </w:r>
    </w:p>
    <w:p>
      <w:pPr>
        <w:spacing w:after="40"/>
        <w:ind w:left="360" w:hanging="216"/>
      </w:pPr>
      <w:r>
        <w:rPr>
          <w:rFonts w:ascii="Calibri" w:hAnsi="Calibri" w:eastAsia="Calibri"/>
          <w:sz w:val="24"/>
        </w:rPr>
        <w:t xml:space="preserve">• </w:t>
      </w:r>
      <w:r>
        <w:rPr>
          <w:rFonts w:ascii="Calibri" w:hAnsi="Calibri" w:eastAsia="Calibri"/>
          <w:sz w:val="24"/>
        </w:rPr>
        <w:t>Purpose: What the review will and will not cover.</w:t>
      </w:r>
    </w:p>
    <w:p>
      <w:pPr>
        <w:spacing w:after="40"/>
        <w:ind w:left="360" w:hanging="216"/>
      </w:pPr>
      <w:r>
        <w:rPr>
          <w:rFonts w:ascii="Calibri" w:hAnsi="Calibri" w:eastAsia="Calibri"/>
          <w:sz w:val="24"/>
        </w:rPr>
        <w:t xml:space="preserve">• </w:t>
      </w:r>
      <w:r>
        <w:rPr>
          <w:rFonts w:ascii="Calibri" w:hAnsi="Calibri" w:eastAsia="Calibri"/>
          <w:sz w:val="24"/>
        </w:rPr>
        <w:t>Standard: Must be clear.</w:t>
      </w:r>
    </w:p>
    <w:p>
      <w:pPr>
        <w:spacing w:after="40"/>
        <w:ind w:left="360" w:hanging="216"/>
      </w:pPr>
      <w:r>
        <w:rPr>
          <w:rFonts w:ascii="Calibri" w:hAnsi="Calibri" w:eastAsia="Calibri"/>
          <w:sz w:val="24"/>
        </w:rPr>
        <w:t xml:space="preserve">• </w:t>
      </w:r>
      <w:r>
        <w:rPr>
          <w:rFonts w:ascii="Calibri" w:hAnsi="Calibri" w:eastAsia="Calibri"/>
          <w:sz w:val="24"/>
        </w:rPr>
        <w:t>Good answers should be concise, specific, careful and useful to the intended reader.</w:t>
      </w:r>
    </w:p>
    <w:p>
      <w:pPr>
        <w:spacing w:after="80" w:line="259" w:lineRule="auto"/>
      </w:pPr>
      <w:r>
        <w:rPr>
          <w:rFonts w:ascii="Calibri" w:hAnsi="Calibri" w:eastAsia="Calibri"/>
          <w:b/>
          <w:i w:val="0"/>
          <w:sz w:val="24"/>
        </w:rPr>
        <w:t>Value explanation</w:t>
      </w:r>
    </w:p>
    <w:p>
      <w:pPr>
        <w:spacing w:after="40"/>
        <w:ind w:left="360" w:hanging="216"/>
      </w:pPr>
      <w:r>
        <w:rPr>
          <w:rFonts w:ascii="Calibri" w:hAnsi="Calibri" w:eastAsia="Calibri"/>
          <w:sz w:val="24"/>
        </w:rPr>
        <w:t xml:space="preserve">• </w:t>
      </w:r>
      <w:r>
        <w:rPr>
          <w:rFonts w:ascii="Calibri" w:hAnsi="Calibri" w:eastAsia="Calibri"/>
          <w:sz w:val="24"/>
        </w:rPr>
        <w:t>Purpose: Why scoping protects the client and team.</w:t>
      </w:r>
    </w:p>
    <w:p>
      <w:pPr>
        <w:spacing w:after="40"/>
        <w:ind w:left="360" w:hanging="216"/>
      </w:pPr>
      <w:r>
        <w:rPr>
          <w:rFonts w:ascii="Calibri" w:hAnsi="Calibri" w:eastAsia="Calibri"/>
          <w:sz w:val="24"/>
        </w:rPr>
        <w:t xml:space="preserve">• </w:t>
      </w:r>
      <w:r>
        <w:rPr>
          <w:rFonts w:ascii="Calibri" w:hAnsi="Calibri" w:eastAsia="Calibri"/>
          <w:sz w:val="24"/>
        </w:rPr>
        <w:t>Standard: Must avoid sales language.</w:t>
      </w:r>
    </w:p>
    <w:p>
      <w:pPr>
        <w:spacing w:after="40"/>
        <w:ind w:left="360" w:hanging="216"/>
      </w:pPr>
      <w:r>
        <w:rPr>
          <w:rFonts w:ascii="Calibri" w:hAnsi="Calibri" w:eastAsia="Calibri"/>
          <w:sz w:val="24"/>
        </w:rPr>
        <w:t xml:space="preserve">• </w:t>
      </w:r>
      <w:r>
        <w:rPr>
          <w:rFonts w:ascii="Calibri" w:hAnsi="Calibri" w:eastAsia="Calibri"/>
          <w:sz w:val="24"/>
        </w:rPr>
        <w:t>Good answers should be concise, specific, careful and useful to the intended reader.</w:t>
      </w:r>
    </w:p>
    <w:p>
      <w:pPr>
        <w:spacing w:before="160" w:after="60"/>
      </w:pPr>
      <w:r>
        <w:rPr>
          <w:rFonts w:ascii="Calibri" w:hAnsi="Calibri" w:eastAsia="Calibri"/>
          <w:b/>
          <w:sz w:val="28"/>
        </w:rPr>
        <w:t>Accessibility and Inclusion Guidance</w:t>
      </w:r>
    </w:p>
    <w:p>
      <w:pPr>
        <w:spacing w:after="40"/>
        <w:ind w:left="360" w:hanging="216"/>
      </w:pPr>
      <w:r>
        <w:rPr>
          <w:rFonts w:ascii="Calibri" w:hAnsi="Calibri" w:eastAsia="Calibri"/>
          <w:sz w:val="24"/>
        </w:rPr>
        <w:t xml:space="preserve">• </w:t>
      </w:r>
      <w:r>
        <w:rPr>
          <w:rFonts w:ascii="Calibri" w:hAnsi="Calibri" w:eastAsia="Calibri"/>
          <w:sz w:val="24"/>
        </w:rPr>
        <w:t>Use plain English in the debrief and explain any professional terms.</w:t>
      </w:r>
    </w:p>
    <w:p>
      <w:pPr>
        <w:spacing w:after="40"/>
        <w:ind w:left="360" w:hanging="216"/>
      </w:pPr>
      <w:r>
        <w:rPr>
          <w:rFonts w:ascii="Calibri" w:hAnsi="Calibri" w:eastAsia="Calibri"/>
          <w:sz w:val="24"/>
        </w:rPr>
        <w:t xml:space="preserve">• </w:t>
      </w:r>
      <w:r>
        <w:rPr>
          <w:rFonts w:ascii="Calibri" w:hAnsi="Calibri" w:eastAsia="Calibri"/>
          <w:sz w:val="24"/>
        </w:rPr>
        <w:t>Allow students to ask for clarification of vocabulary or instructions.</w:t>
      </w:r>
    </w:p>
    <w:p>
      <w:pPr>
        <w:spacing w:after="40"/>
        <w:ind w:left="360" w:hanging="216"/>
      </w:pPr>
      <w:r>
        <w:rPr>
          <w:rFonts w:ascii="Calibri" w:hAnsi="Calibri" w:eastAsia="Calibri"/>
          <w:sz w:val="24"/>
        </w:rPr>
        <w:t xml:space="preserve">• </w:t>
      </w:r>
      <w:r>
        <w:rPr>
          <w:rFonts w:ascii="Calibri" w:hAnsi="Calibri" w:eastAsia="Calibri"/>
          <w:sz w:val="24"/>
        </w:rPr>
        <w:t>Do not penalise students for non-native English style where the meaning is clear and professional.</w:t>
      </w:r>
    </w:p>
    <w:p>
      <w:pPr>
        <w:spacing w:after="40"/>
        <w:ind w:left="360" w:hanging="216"/>
      </w:pPr>
      <w:r>
        <w:rPr>
          <w:rFonts w:ascii="Calibri" w:hAnsi="Calibri" w:eastAsia="Calibri"/>
          <w:sz w:val="24"/>
        </w:rPr>
        <w:t xml:space="preserve">• </w:t>
      </w:r>
      <w:r>
        <w:rPr>
          <w:rFonts w:ascii="Calibri" w:hAnsi="Calibri" w:eastAsia="Calibri"/>
          <w:sz w:val="24"/>
        </w:rPr>
        <w:t>Be aware that students may have different levels of familiarity with UK legal workplaces.</w:t>
      </w:r>
    </w:p>
    <w:p>
      <w:pPr>
        <w:spacing w:after="40"/>
        <w:ind w:left="360" w:hanging="216"/>
      </w:pPr>
      <w:r>
        <w:rPr>
          <w:rFonts w:ascii="Calibri" w:hAnsi="Calibri" w:eastAsia="Calibri"/>
          <w:sz w:val="24"/>
        </w:rPr>
        <w:t xml:space="preserve">• </w:t>
      </w:r>
      <w:r>
        <w:rPr>
          <w:rFonts w:ascii="Calibri" w:hAnsi="Calibri" w:eastAsia="Calibri"/>
          <w:sz w:val="24"/>
        </w:rPr>
        <w:t>Encourage students to explain assumptions rather than hide uncertainty.</w:t>
      </w:r>
    </w:p>
    <w:p>
      <w:pPr>
        <w:spacing w:before="160" w:after="60"/>
      </w:pPr>
      <w:r>
        <w:rPr>
          <w:rFonts w:ascii="Calibri" w:hAnsi="Calibri" w:eastAsia="Calibri"/>
          <w:b/>
          <w:sz w:val="28"/>
        </w:rPr>
        <w:t>Common Student Mistakes</w:t>
      </w:r>
    </w:p>
    <w:p>
      <w:pPr>
        <w:spacing w:after="40"/>
        <w:ind w:left="360" w:hanging="216"/>
      </w:pPr>
      <w:r>
        <w:rPr>
          <w:rFonts w:ascii="Calibri" w:hAnsi="Calibri" w:eastAsia="Calibri"/>
          <w:sz w:val="24"/>
        </w:rPr>
        <w:t xml:space="preserve">• </w:t>
      </w:r>
      <w:r>
        <w:rPr>
          <w:rFonts w:ascii="Calibri" w:hAnsi="Calibri" w:eastAsia="Calibri"/>
          <w:sz w:val="24"/>
        </w:rPr>
        <w:t>Giving a confident legal conclusion without checking the applicable framework.</w:t>
      </w:r>
    </w:p>
    <w:p>
      <w:pPr>
        <w:spacing w:after="40"/>
        <w:ind w:left="360" w:hanging="216"/>
      </w:pPr>
      <w:r>
        <w:rPr>
          <w:rFonts w:ascii="Calibri" w:hAnsi="Calibri" w:eastAsia="Calibri"/>
          <w:sz w:val="24"/>
        </w:rPr>
        <w:t xml:space="preserve">• </w:t>
      </w:r>
      <w:r>
        <w:rPr>
          <w:rFonts w:ascii="Calibri" w:hAnsi="Calibri" w:eastAsia="Calibri"/>
          <w:sz w:val="24"/>
        </w:rPr>
        <w:t>Using long, complex language when a clear sentence would be better.</w:t>
      </w:r>
    </w:p>
    <w:p>
      <w:pPr>
        <w:spacing w:after="40"/>
        <w:ind w:left="360" w:hanging="216"/>
      </w:pPr>
      <w:r>
        <w:rPr>
          <w:rFonts w:ascii="Calibri" w:hAnsi="Calibri" w:eastAsia="Calibri"/>
          <w:sz w:val="24"/>
        </w:rPr>
        <w:t xml:space="preserve">• </w:t>
      </w:r>
      <w:r>
        <w:rPr>
          <w:rFonts w:ascii="Calibri" w:hAnsi="Calibri" w:eastAsia="Calibri"/>
          <w:sz w:val="24"/>
        </w:rPr>
        <w:t>Missing the client or business objective.</w:t>
      </w:r>
    </w:p>
    <w:p>
      <w:pPr>
        <w:spacing w:after="40"/>
        <w:ind w:left="360" w:hanging="216"/>
      </w:pPr>
      <w:r>
        <w:rPr>
          <w:rFonts w:ascii="Calibri" w:hAnsi="Calibri" w:eastAsia="Calibri"/>
          <w:sz w:val="24"/>
        </w:rPr>
        <w:t xml:space="preserve">• </w:t>
      </w:r>
      <w:r>
        <w:rPr>
          <w:rFonts w:ascii="Calibri" w:hAnsi="Calibri" w:eastAsia="Calibri"/>
          <w:sz w:val="24"/>
        </w:rPr>
        <w:t>Failing to separate facts from assumptions.</w:t>
      </w:r>
    </w:p>
    <w:p>
      <w:pPr>
        <w:spacing w:after="40"/>
        <w:ind w:left="360" w:hanging="216"/>
      </w:pPr>
      <w:r>
        <w:rPr>
          <w:rFonts w:ascii="Calibri" w:hAnsi="Calibri" w:eastAsia="Calibri"/>
          <w:sz w:val="24"/>
        </w:rPr>
        <w:t xml:space="preserve">• </w:t>
      </w:r>
      <w:r>
        <w:rPr>
          <w:rFonts w:ascii="Calibri" w:hAnsi="Calibri" w:eastAsia="Calibri"/>
          <w:sz w:val="24"/>
        </w:rPr>
        <w:t>Not identifying what needs supervisor approval.</w:t>
      </w:r>
    </w:p>
    <w:p>
      <w:pPr>
        <w:spacing w:before="160" w:after="60"/>
      </w:pPr>
      <w:r>
        <w:rPr>
          <w:rFonts w:ascii="Calibri" w:hAnsi="Calibri" w:eastAsia="Calibri"/>
          <w:b/>
          <w:sz w:val="28"/>
        </w:rPr>
        <w:t>Debrief Questions</w:t>
      </w:r>
    </w:p>
    <w:p>
      <w:pPr>
        <w:spacing w:after="40"/>
        <w:ind w:left="360" w:hanging="216"/>
      </w:pPr>
      <w:r>
        <w:rPr>
          <w:rFonts w:ascii="Calibri" w:hAnsi="Calibri" w:eastAsia="Calibri"/>
          <w:sz w:val="24"/>
        </w:rPr>
        <w:t xml:space="preserve">• </w:t>
      </w:r>
      <w:r>
        <w:rPr>
          <w:rFonts w:ascii="Calibri" w:hAnsi="Calibri" w:eastAsia="Calibri"/>
          <w:sz w:val="24"/>
        </w:rPr>
        <w:t>What would the client or supervisor need first?</w:t>
      </w:r>
    </w:p>
    <w:p>
      <w:pPr>
        <w:spacing w:after="40"/>
        <w:ind w:left="360" w:hanging="216"/>
      </w:pPr>
      <w:r>
        <w:rPr>
          <w:rFonts w:ascii="Calibri" w:hAnsi="Calibri" w:eastAsia="Calibri"/>
          <w:sz w:val="24"/>
        </w:rPr>
        <w:t xml:space="preserve">• </w:t>
      </w:r>
      <w:r>
        <w:rPr>
          <w:rFonts w:ascii="Calibri" w:hAnsi="Calibri" w:eastAsia="Calibri"/>
          <w:sz w:val="24"/>
        </w:rPr>
        <w:t>What was the most important missing fact?</w:t>
      </w:r>
    </w:p>
    <w:p>
      <w:pPr>
        <w:spacing w:after="40"/>
        <w:ind w:left="360" w:hanging="216"/>
      </w:pPr>
      <w:r>
        <w:rPr>
          <w:rFonts w:ascii="Calibri" w:hAnsi="Calibri" w:eastAsia="Calibri"/>
          <w:sz w:val="24"/>
        </w:rPr>
        <w:t xml:space="preserve">• </w:t>
      </w:r>
      <w:r>
        <w:rPr>
          <w:rFonts w:ascii="Calibri" w:hAnsi="Calibri" w:eastAsia="Calibri"/>
          <w:sz w:val="24"/>
        </w:rPr>
        <w:t>What would be risky to say too early?</w:t>
      </w:r>
    </w:p>
    <w:p>
      <w:pPr>
        <w:spacing w:after="40"/>
        <w:ind w:left="360" w:hanging="216"/>
      </w:pPr>
      <w:r>
        <w:rPr>
          <w:rFonts w:ascii="Calibri" w:hAnsi="Calibri" w:eastAsia="Calibri"/>
          <w:sz w:val="24"/>
        </w:rPr>
        <w:t xml:space="preserve">• </w:t>
      </w:r>
      <w:r>
        <w:rPr>
          <w:rFonts w:ascii="Calibri" w:hAnsi="Calibri" w:eastAsia="Calibri"/>
          <w:sz w:val="24"/>
        </w:rPr>
        <w:t>How could the answer be made clearer for a reader whose first language is not English?</w:t>
      </w:r>
    </w:p>
    <w:p>
      <w:pPr>
        <w:spacing w:after="40"/>
        <w:ind w:left="360" w:hanging="216"/>
      </w:pPr>
      <w:r>
        <w:rPr>
          <w:rFonts w:ascii="Calibri" w:hAnsi="Calibri" w:eastAsia="Calibri"/>
          <w:sz w:val="24"/>
        </w:rPr>
        <w:t xml:space="preserve">• </w:t>
      </w:r>
      <w:r>
        <w:rPr>
          <w:rFonts w:ascii="Calibri" w:hAnsi="Calibri" w:eastAsia="Calibri"/>
          <w:sz w:val="24"/>
        </w:rPr>
        <w:t>What practical habit should students take into the next simulation?</w:t>
      </w:r>
    </w:p>
    <w:p>
      <w:pPr>
        <w:jc w:val="center"/>
      </w:pPr>
      <w:r>
        <w:rPr>
          <w:i/>
          <w:sz w:val="18"/>
        </w:rPr>
        <w:t>PS-BFA-02 | Business and Financial Awareness | LawBridge Professional Skills Course | Tutor Guide</w:t>
      </w:r>
    </w:p>
    <w:sectPr w:rsidR="00FC693F" w:rsidRPr="0006063C" w:rsidSect="00034616">
      <w:headerReference w:type="default" r:id="rId9"/>
      <w:footerReference w:type="default" r:id="rId10"/>
      <w:pgSz w:w="12240" w:h="15840"/>
      <w:pgMar w:top="1699" w:right="979" w:bottom="1224" w:left="979" w:header="115" w:footer="11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6400800" cy="1202436"/>
          <wp:docPr id="1" name="Picture 1"/>
          <wp:cNvGraphicFramePr>
            <a:graphicFrameLocks noChangeAspect="1"/>
          </wp:cNvGraphicFramePr>
          <a:graphic>
            <a:graphicData uri="http://schemas.openxmlformats.org/drawingml/2006/picture">
              <pic:pic>
                <pic:nvPicPr>
                  <pic:cNvPr id="0" name="lawbridge_footer_small.png"/>
                  <pic:cNvPicPr/>
                </pic:nvPicPr>
                <pic:blipFill>
                  <a:blip r:embed="rId1"/>
                  <a:stretch>
                    <a:fillRect/>
                  </a:stretch>
                </pic:blipFill>
                <pic:spPr>
                  <a:xfrm>
                    <a:off x="0" y="0"/>
                    <a:ext cx="6400800" cy="1202436"/>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1632204"/>
          <wp:docPr id="1" name="Picture 1"/>
          <wp:cNvGraphicFramePr>
            <a:graphicFrameLocks noChangeAspect="1"/>
          </wp:cNvGraphicFramePr>
          <a:graphic>
            <a:graphicData uri="http://schemas.openxmlformats.org/drawingml/2006/picture">
              <pic:pic>
                <pic:nvPicPr>
                  <pic:cNvPr id="0" name="lawbridge_header_small.png"/>
                  <pic:cNvPicPr/>
                </pic:nvPicPr>
                <pic:blipFill>
                  <a:blip r:embed="rId1"/>
                  <a:stretch>
                    <a:fillRect/>
                  </a:stretch>
                </pic:blipFill>
                <pic:spPr>
                  <a:xfrm>
                    <a:off x="0" y="0"/>
                    <a:ext cx="6400800" cy="163220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F2F2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2F2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2F2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Calibri"/>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