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Case and Matter Analysis Tutor Guide</w:t>
      </w:r>
    </w:p>
    <w:p>
      <w:pPr>
        <w:jc w:val="center"/>
      </w:pPr>
      <w:r>
        <w:rPr>
          <w:rFonts w:ascii="Calibri" w:hAnsi="Calibri"/>
          <w:b/>
          <w:sz w:val="32"/>
        </w:rPr>
        <w:t>Tech Company Acquisition Red Flags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CMA-01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Case and Matter Analysis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Tech Company Acquisition Red Flags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Technology acquisition due diligence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 to Advanced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Case and Matter Analysis - Tech Company Acquisition Red Flags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buyer wants to acquire a cloud software company, but due diligence reveals multiple red flags.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term sheet, IP ownership summary, open-source scan, regulatory note, employment contracts and management presentation.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prioritise risks and recommend protections before completion.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analysis challenge is to connect IP, employment, regulatory and commercial risks to deal protections.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Ip assignment gaps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Contractor code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Open-source components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Data investigations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Key employees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Warranties/indemnities/conditions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Term Sheet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Open-Source Scan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Regulatory Investigation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Employment Contract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7: Management Presentation Slide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Issue spotting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Identifies legal, factual, commercial and evidence issues.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Evidence analysis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exhibits, identifies conflicts and missing proof.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Risk prioritisation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Ranks risk by likelihood, impact and urgency.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Recommendations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Gives practical protections, actions and escalation points.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Commercial and 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Accounts for client objectives, reputation, cost and uncertainty.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Read the term sheet and identify deal objectives.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Term Sheet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the client’s immediate practical objective rather than treating the matter as a purely legal problem.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preferred outcome, acceptable fallback and urgent business need.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promising compensation, termination or success before causation, wording and evidence are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Extract the main due diligence findings.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IP ownership gaps.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Identify open-source and contractor risks.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Regulatory Investigation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regulatory and data compliance risks.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Regulatory Investigation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Identify employment/key person risks.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Regulatory Investigation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a risk heatmap.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Regulatory Investigation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Risk table format: Risk | Evidence | Likelihood | Impact | Priority | Mitigation | Owner.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Recommend protections before completion.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Term Sheet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further diligence requests.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Term Sheet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IP Ownership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Draft a concise supervisor strategy note.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Buyer Instruction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Connect each red flag to a deal protection: condition, price adjustment, warranty, indemnity, escrow, retention or completion deliverable.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 IP ownership, regulatory investigations and key employees as completion-critical unless 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treating management reassurance as sufficient diligence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Supervisor update structure: headline risk; confirmed facts; disputed or missing facts; urgent actions; escalation points; recommended next step.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Listing every issue without prioritisation.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Forgetting deal, enforcement or practical implementation risks.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CMA-01 | Case and Matter Analysis | Tutor Guide | Tech Company Acquisition Red Flags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