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CLA-01 | Commercial Legal Analysis | Tutor Guide</w:t>
        <w:br/>
        <w:t>Assessing a Retail Data Partnership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Practical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Legal Analysis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Assessing a Retail Data Partnership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Retail data collaboration and commercial risk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 to Advanced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Legal Analysis - Assessing a Retail Data Partnership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Assessing a Retail Data Partnership. The matter type is Retail data collaboration and commercial risk. Students should treat the file as fictional and use it to practise commercial legal analysis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business value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data sharing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customer trust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brand control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termination and audit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Board Instruction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Partnership Summary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Data Flow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Marketing Slide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Partner Terms Extract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Customer Trust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commercial legal analysis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Issue spotting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legal, commercial and practical issues.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context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Connects legal risk to business goals and trade-offs.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Evidence and uncertainty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Separates facts, assumptions and missing information.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options and prioritised next steps.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Plain English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Accessible language for non-lawyer audiences.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frames the issue as controlled launch, not automatic approval or rejection.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ask about data categories, consent/notice, opt-out, security and partner use.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risk heatmap should focus on practical impact and ownership.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 jurisdiction-specific privacy conclusion should be given without legal verification.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business objective behind the partnership.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List the main legal and commercial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Separate confirmed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Identify data categories and customer communication issues.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Assess reputational risk and brand control.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Recommend controls before launch.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Prepare open questions for marketing, product and data teams.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8: Draft a short board-friendly summary.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9: Reflect on how a lawyer can support innovation without saying yes or no too quickly.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Commercial legal risk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Opportunity, risks, controls, open questions and recommendation.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practical and business-facing.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Risk heatmap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Risk, likelihood, impact, owner and mitigation.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prioritise.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Client information request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Questions needed before legal advice can be finalised.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Each question must explain why it matters.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CLA-01 | Commercial Legal Analysis | LawBridge Practical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