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 w:after="40"/>
      </w:pPr>
      <w:r>
        <w:rPr>
          <w:rFonts w:ascii="Calibri" w:hAnsi="Calibri" w:eastAsia="Calibri"/>
          <w:b/>
          <w:sz w:val="28"/>
        </w:rPr>
        <w:t>PS-COM-02 | Communication Skills | Tutor Guide</w:t>
        <w:br/>
        <w:t>Giving a Clear Update After Bad News</w:t>
      </w:r>
    </w:p>
    <w:p>
      <w:pPr>
        <w:spacing w:after="120"/>
      </w:pPr>
      <w:r>
        <w:rPr>
          <w:rFonts w:ascii="Calibri" w:hAnsi="Calibri" w:eastAsia="Calibri"/>
          <w:i/>
          <w:sz w:val="24"/>
        </w:rPr>
        <w:t>LawBridge Professional Skills Course</w:t>
        <w:br/>
        <w:t>Model Answers, Facilitation Notes and Feedback Guidance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c>
          <w:tcPr>
            <w:tcW w:type="dxa" w:w="2736"/>
            <w:vAlign w:val="top"/>
            <w:shd w:fill="DDD3C6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/>
                <w:sz w:val="21"/>
              </w:rPr>
              <w:t>Field</w:t>
            </w:r>
          </w:p>
        </w:tc>
        <w:tc>
          <w:tcPr>
            <w:tcW w:type="dxa" w:w="6912"/>
            <w:vAlign w:val="top"/>
            <w:shd w:fill="DDD3C6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/>
                <w:sz w:val="21"/>
              </w:rPr>
              <w:t>Details</w:t>
            </w:r>
          </w:p>
        </w:tc>
      </w:tr>
      <w:tr>
        <w:tc>
          <w:tcPr>
            <w:tcW w:type="dxa" w:w="273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Worksheet code</w:t>
            </w:r>
          </w:p>
        </w:tc>
        <w:tc>
          <w:tcPr>
            <w:tcW w:type="dxa" w:w="6912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PS-COM-02</w:t>
            </w:r>
          </w:p>
        </w:tc>
      </w:tr>
      <w:tr>
        <w:tc>
          <w:tcPr>
            <w:tcW w:type="dxa" w:w="273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Skill focus</w:t>
            </w:r>
          </w:p>
        </w:tc>
        <w:tc>
          <w:tcPr>
            <w:tcW w:type="dxa" w:w="6912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Communication Skills</w:t>
            </w:r>
          </w:p>
        </w:tc>
      </w:tr>
      <w:tr>
        <w:tc>
          <w:tcPr>
            <w:tcW w:type="dxa" w:w="273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Scenario</w:t>
            </w:r>
          </w:p>
        </w:tc>
        <w:tc>
          <w:tcPr>
            <w:tcW w:type="dxa" w:w="6912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Giving a Clear Update After Bad News</w:t>
            </w:r>
          </w:p>
        </w:tc>
      </w:tr>
      <w:tr>
        <w:tc>
          <w:tcPr>
            <w:tcW w:type="dxa" w:w="273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Matter type</w:t>
            </w:r>
          </w:p>
        </w:tc>
        <w:tc>
          <w:tcPr>
            <w:tcW w:type="dxa" w:w="6912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Client update and tone management</w:t>
            </w:r>
          </w:p>
        </w:tc>
      </w:tr>
      <w:tr>
        <w:tc>
          <w:tcPr>
            <w:tcW w:type="dxa" w:w="273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Difficulty</w:t>
            </w:r>
          </w:p>
        </w:tc>
        <w:tc>
          <w:tcPr>
            <w:tcW w:type="dxa" w:w="6912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Intermediate</w:t>
            </w:r>
          </w:p>
        </w:tc>
      </w:tr>
      <w:tr>
        <w:tc>
          <w:tcPr>
            <w:tcW w:type="dxa" w:w="273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Tutor use</w:t>
            </w:r>
          </w:p>
        </w:tc>
        <w:tc>
          <w:tcPr>
            <w:tcW w:type="dxa" w:w="6912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Guided marking, feedback, remediation and debrief</w:t>
            </w:r>
          </w:p>
        </w:tc>
      </w:tr>
      <w:tr>
        <w:tc>
          <w:tcPr>
            <w:tcW w:type="dxa" w:w="273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Matching student pack</w:t>
            </w:r>
          </w:p>
        </w:tc>
        <w:tc>
          <w:tcPr>
            <w:tcW w:type="dxa" w:w="6912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Communication Skills - Giving a Clear Update After Bad News - Student Pack.docx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DDD3C6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/>
                <w:sz w:val="21"/>
              </w:rPr>
              <w:t>Important disclaimer</w:t>
            </w:r>
          </w:p>
        </w:tc>
      </w:tr>
      <w:tr>
        <w:tc>
          <w:tcPr>
            <w:tcW w:type="dxa" w:w="10282"/>
          </w:tcPr>
          <w:p>
            <w:pPr>
              <w:spacing w:after="0" w:before="0"/>
            </w:pPr>
            <w:r>
              <w:rPr>
                <w:sz w:val="21"/>
              </w:rPr>
            </w:r>
            <w:r>
              <w:rPr>
                <w:rFonts w:ascii="Calibri" w:hAnsi="Calibri" w:eastAsia="Calibri"/>
                <w:b w:val="0"/>
                <w:sz w:val="21"/>
              </w:rPr>
              <w:t>Educational and training use only. This pack is not legal advice. It is not intended as a guide to any particular jurisdiction, legal system, regulator, court, firm policy or client matter. The scenario is fictional and framework-neutral. Students must not rely on this material to advise real clients. Any real legal issue must be checked against the applicable law, professional rules and supervisor guidance.</w:t>
            </w:r>
          </w:p>
        </w:tc>
      </w:tr>
    </w:tbl>
    <w:p/>
    <w:p>
      <w:pPr>
        <w:spacing w:before="160" w:after="60"/>
      </w:pPr>
      <w:r>
        <w:rPr>
          <w:rFonts w:ascii="Calibri" w:hAnsi="Calibri" w:eastAsia="Calibri"/>
          <w:b/>
          <w:sz w:val="28"/>
        </w:rPr>
        <w:t>Tutor Use Note</w:t>
      </w:r>
    </w:p>
    <w:p>
      <w:pPr>
        <w:spacing w:after="80" w:line="259" w:lineRule="auto"/>
      </w:pPr>
      <w:r>
        <w:rPr>
          <w:rFonts w:ascii="Calibri" w:hAnsi="Calibri" w:eastAsia="Calibri"/>
          <w:b w:val="0"/>
          <w:i w:val="0"/>
          <w:sz w:val="24"/>
        </w:rPr>
        <w:t>Use this guide alongside the matching student pack. Model answers are not intended to be memorised. They show the standard, structure and practical judgment expected from a strong trainee-style response.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Reward careful use of the file, clear caveats and practical next steps.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Do not reward confident conclusions that are unsupported by the exhibits.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Mark communication quality by clarity, structure and judgment, not by complex vocabulary.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Students may speak or write with different accents, language backgrounds and communication styles. Assess professionalism and meaning, not native-speaker fluency.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Keep the simulation framework-neutral. Ask students to identify legal verification points rather than assume a jurisdiction.</w:t>
      </w:r>
    </w:p>
    <w:p>
      <w:pPr>
        <w:spacing w:before="160" w:after="60"/>
      </w:pPr>
      <w:r>
        <w:rPr>
          <w:rFonts w:ascii="Calibri" w:hAnsi="Calibri" w:eastAsia="Calibri"/>
          <w:b/>
          <w:sz w:val="28"/>
        </w:rPr>
        <w:t>Matter Snapshot for Tutors</w:t>
      </w:r>
    </w:p>
    <w:p>
      <w:pPr>
        <w:spacing w:after="80" w:line="259" w:lineRule="auto"/>
      </w:pPr>
      <w:r>
        <w:rPr>
          <w:rFonts w:ascii="Calibri" w:hAnsi="Calibri" w:eastAsia="Calibri"/>
          <w:b w:val="0"/>
          <w:i w:val="0"/>
          <w:sz w:val="24"/>
        </w:rPr>
        <w:t>This simulation concerns: Giving a Clear Update After Bad News. The matter type is Client update and tone management. Students should treat the file as fictional and use it to practise communication skills in a realistic but educational setting.</w:t>
      </w:r>
    </w:p>
    <w:p>
      <w:pPr>
        <w:spacing w:before="160" w:after="60"/>
      </w:pPr>
      <w:r>
        <w:rPr>
          <w:rFonts w:ascii="Calibri" w:hAnsi="Calibri" w:eastAsia="Calibri"/>
          <w:b/>
          <w:sz w:val="28"/>
        </w:rPr>
        <w:t>Primary Issues to Watch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bad news communication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uncertainty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tone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supervisor approval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client trust</w:t>
      </w:r>
    </w:p>
    <w:p>
      <w:pPr>
        <w:spacing w:before="160" w:after="60"/>
      </w:pPr>
      <w:r>
        <w:rPr>
          <w:rFonts w:ascii="Calibri" w:hAnsi="Calibri" w:eastAsia="Calibri"/>
          <w:b/>
          <w:sz w:val="28"/>
        </w:rPr>
        <w:t>Relevant Student Exhibits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c>
          <w:tcPr>
            <w:tcW w:type="dxa" w:w="1008"/>
            <w:vAlign w:val="top"/>
            <w:shd w:fill="DDD3C6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/>
                <w:sz w:val="21"/>
              </w:rPr>
              <w:t>Exhibit</w:t>
            </w:r>
          </w:p>
        </w:tc>
        <w:tc>
          <w:tcPr>
            <w:tcW w:type="dxa" w:w="3456"/>
            <w:vAlign w:val="top"/>
            <w:shd w:fill="DDD3C6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/>
                <w:sz w:val="21"/>
              </w:rPr>
              <w:t>Document</w:t>
            </w:r>
          </w:p>
        </w:tc>
        <w:tc>
          <w:tcPr>
            <w:tcW w:type="dxa" w:w="5472"/>
            <w:vAlign w:val="top"/>
            <w:shd w:fill="DDD3C6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/>
                <w:sz w:val="21"/>
              </w:rPr>
              <w:t>Tutor focus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1</w:t>
            </w:r>
          </w:p>
        </w:tc>
        <w:tc>
          <w:tcPr>
            <w:tcW w:type="dxa" w:w="34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Client email</w:t>
            </w:r>
          </w:p>
        </w:tc>
        <w:tc>
          <w:tcPr>
            <w:tcW w:type="dxa" w:w="5472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How this evidence affects communication skills and practical next steps.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2</w:t>
            </w:r>
          </w:p>
        </w:tc>
        <w:tc>
          <w:tcPr>
            <w:tcW w:type="dxa" w:w="34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Internal note</w:t>
            </w:r>
          </w:p>
        </w:tc>
        <w:tc>
          <w:tcPr>
            <w:tcW w:type="dxa" w:w="5472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How this evidence affects communication skills and practical next steps.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3</w:t>
            </w:r>
          </w:p>
        </w:tc>
        <w:tc>
          <w:tcPr>
            <w:tcW w:type="dxa" w:w="34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Draft wording</w:t>
            </w:r>
          </w:p>
        </w:tc>
        <w:tc>
          <w:tcPr>
            <w:tcW w:type="dxa" w:w="5472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How this evidence affects communication skills and practical next steps.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4</w:t>
            </w:r>
          </w:p>
        </w:tc>
        <w:tc>
          <w:tcPr>
            <w:tcW w:type="dxa" w:w="34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Timeline note</w:t>
            </w:r>
          </w:p>
        </w:tc>
        <w:tc>
          <w:tcPr>
            <w:tcW w:type="dxa" w:w="5472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How this evidence affects communication skills and practical next steps.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5</w:t>
            </w:r>
          </w:p>
        </w:tc>
        <w:tc>
          <w:tcPr>
            <w:tcW w:type="dxa" w:w="34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Supervisor comment</w:t>
            </w:r>
          </w:p>
        </w:tc>
        <w:tc>
          <w:tcPr>
            <w:tcW w:type="dxa" w:w="5472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How this evidence affects communication skills and practical next steps.</w:t>
            </w:r>
          </w:p>
        </w:tc>
      </w:tr>
    </w:tbl>
    <w:p/>
    <w:p>
      <w:pPr>
        <w:spacing w:before="160" w:after="60"/>
      </w:pPr>
      <w:r>
        <w:rPr>
          <w:rFonts w:ascii="Calibri" w:hAnsi="Calibri" w:eastAsia="Calibri"/>
          <w:b/>
          <w:sz w:val="28"/>
        </w:rPr>
        <w:t>Marking Rubric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c>
          <w:tcPr>
            <w:tcW w:type="dxa" w:w="2880"/>
            <w:vAlign w:val="top"/>
            <w:shd w:fill="DDD3C6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/>
                <w:sz w:val="21"/>
              </w:rPr>
              <w:t>Assessment area</w:t>
            </w:r>
          </w:p>
        </w:tc>
        <w:tc>
          <w:tcPr>
            <w:tcW w:type="dxa" w:w="1440"/>
            <w:vAlign w:val="top"/>
            <w:shd w:fill="DDD3C6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/>
                <w:sz w:val="21"/>
              </w:rPr>
              <w:t>Weighting</w:t>
            </w:r>
          </w:p>
        </w:tc>
        <w:tc>
          <w:tcPr>
            <w:tcW w:type="dxa" w:w="5760"/>
            <w:vAlign w:val="top"/>
            <w:shd w:fill="DDD3C6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/>
                <w:sz w:val="21"/>
              </w:rPr>
              <w:t>What to look for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Understanding of skill</w:t>
            </w:r>
          </w:p>
        </w:tc>
        <w:tc>
          <w:tcPr>
            <w:tcW w:type="dxa" w:w="1440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20%</w:t>
            </w:r>
          </w:p>
        </w:tc>
        <w:tc>
          <w:tcPr>
            <w:tcW w:type="dxa" w:w="5760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Shows the relevant professional behaviour or practice skill.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Practical judgment</w:t>
            </w:r>
          </w:p>
        </w:tc>
        <w:tc>
          <w:tcPr>
            <w:tcW w:type="dxa" w:w="1440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25%</w:t>
            </w:r>
          </w:p>
        </w:tc>
        <w:tc>
          <w:tcPr>
            <w:tcW w:type="dxa" w:w="5760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Responds realistically to the scenario.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Communication quality</w:t>
            </w:r>
          </w:p>
        </w:tc>
        <w:tc>
          <w:tcPr>
            <w:tcW w:type="dxa" w:w="1440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20%</w:t>
            </w:r>
          </w:p>
        </w:tc>
        <w:tc>
          <w:tcPr>
            <w:tcW w:type="dxa" w:w="5760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Uses clear, respectful plain English.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Risk and escalation awareness</w:t>
            </w:r>
          </w:p>
        </w:tc>
        <w:tc>
          <w:tcPr>
            <w:tcW w:type="dxa" w:w="1440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20%</w:t>
            </w:r>
          </w:p>
        </w:tc>
        <w:tc>
          <w:tcPr>
            <w:tcW w:type="dxa" w:w="5760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Identifies what needs checking or supervisor input.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Reflection and improvement</w:t>
            </w:r>
          </w:p>
        </w:tc>
        <w:tc>
          <w:tcPr>
            <w:tcW w:type="dxa" w:w="1440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15%</w:t>
            </w:r>
          </w:p>
        </w:tc>
        <w:tc>
          <w:tcPr>
            <w:tcW w:type="dxa" w:w="5760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Shows learning and next steps.</w:t>
            </w:r>
          </w:p>
        </w:tc>
      </w:tr>
    </w:tbl>
    <w:p/>
    <w:p>
      <w:pPr>
        <w:spacing w:before="160" w:after="60"/>
      </w:pPr>
      <w:r>
        <w:rPr>
          <w:rFonts w:ascii="Calibri" w:hAnsi="Calibri" w:eastAsia="Calibri"/>
          <w:b/>
          <w:sz w:val="28"/>
        </w:rPr>
        <w:t>Expected Strong Answer Points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A strong answer starts with the issue and next step rather than hiding the problem.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The student should avoid 'it should be fine' and similar unsupported reassurance.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The email should show ownership of communication while leaving legal conclusions for verified advice.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The tone should be clear and calm.</w:t>
      </w:r>
    </w:p>
    <w:p>
      <w:pPr>
        <w:spacing w:before="160" w:after="60"/>
      </w:pPr>
      <w:r>
        <w:rPr>
          <w:rFonts w:ascii="Calibri" w:hAnsi="Calibri" w:eastAsia="Calibri"/>
          <w:b/>
          <w:sz w:val="28"/>
        </w:rPr>
        <w:t>Question-by-Question Guidance</w:t>
      </w:r>
    </w:p>
    <w:p>
      <w:pPr>
        <w:spacing w:after="80" w:line="259" w:lineRule="auto"/>
      </w:pPr>
      <w:r>
        <w:rPr>
          <w:rFonts w:ascii="Calibri" w:hAnsi="Calibri" w:eastAsia="Calibri"/>
          <w:b/>
          <w:i w:val="0"/>
          <w:sz w:val="24"/>
        </w:rPr>
        <w:t>Question 1: Identify the key message the client needs first.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A strong answer identifies the point precisely and links it to the file.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The student should separate known facts from assumptions and missing information.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The answer should include a practical next step.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Tutor prompt: What evidence supports that point, what is still unverified, and what would you do next?</w:t>
      </w:r>
    </w:p>
    <w:p>
      <w:pPr>
        <w:spacing w:after="80" w:line="259" w:lineRule="auto"/>
      </w:pPr>
      <w:r>
        <w:rPr>
          <w:rFonts w:ascii="Calibri" w:hAnsi="Calibri" w:eastAsia="Calibri"/>
          <w:b/>
          <w:i w:val="0"/>
          <w:sz w:val="24"/>
        </w:rPr>
        <w:t>Question 2: Draft a clear opening paragraph.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A strong answer identifies the point precisely and links it to the file.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The student should separate known facts from assumptions and missing information.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The answer should include a practical next step.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Tutor prompt: What evidence supports that point, what is still unverified, and what would you do next?</w:t>
      </w:r>
    </w:p>
    <w:p>
      <w:pPr>
        <w:spacing w:after="80" w:line="259" w:lineRule="auto"/>
      </w:pPr>
      <w:r>
        <w:rPr>
          <w:rFonts w:ascii="Calibri" w:hAnsi="Calibri" w:eastAsia="Calibri"/>
          <w:b/>
          <w:i w:val="0"/>
          <w:sz w:val="24"/>
        </w:rPr>
        <w:t>Question 3: Prepare a short explanation of uncertainty.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A strong answer identifies the point precisely and links it to the file.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The student should separate known facts from assumptions and missing information.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The answer should include a practical next step.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Tutor prompt: What evidence supports that point, what is still unverified, and what would you do next?</w:t>
      </w:r>
    </w:p>
    <w:p>
      <w:pPr>
        <w:spacing w:after="80" w:line="259" w:lineRule="auto"/>
      </w:pPr>
      <w:r>
        <w:rPr>
          <w:rFonts w:ascii="Calibri" w:hAnsi="Calibri" w:eastAsia="Calibri"/>
          <w:b/>
          <w:i w:val="0"/>
          <w:sz w:val="24"/>
        </w:rPr>
        <w:t>Question 4: List two next steps and a realistic timeframe.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A strong answer identifies the point precisely and links it to the file.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The student should separate known facts from assumptions and missing information.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The answer should include a practical next step.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Tutor prompt: What evidence supports that point, what is still unverified, and what would you do next?</w:t>
      </w:r>
    </w:p>
    <w:p>
      <w:pPr>
        <w:spacing w:after="80" w:line="259" w:lineRule="auto"/>
      </w:pPr>
      <w:r>
        <w:rPr>
          <w:rFonts w:ascii="Calibri" w:hAnsi="Calibri" w:eastAsia="Calibri"/>
          <w:b/>
          <w:i w:val="0"/>
          <w:sz w:val="24"/>
        </w:rPr>
        <w:t>Question 5: Rewrite defensive wording into professional wording.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A strong answer identifies the point precisely and links it to the file.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The student should separate known facts from assumptions and missing information.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The answer should include a practical next step.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Tutor prompt: What evidence supports that point, what is still unverified, and what would you do next?</w:t>
      </w:r>
    </w:p>
    <w:p>
      <w:pPr>
        <w:spacing w:after="80" w:line="259" w:lineRule="auto"/>
      </w:pPr>
      <w:r>
        <w:rPr>
          <w:rFonts w:ascii="Calibri" w:hAnsi="Calibri" w:eastAsia="Calibri"/>
          <w:b/>
          <w:i w:val="0"/>
          <w:sz w:val="24"/>
        </w:rPr>
        <w:t>Question 6: Decide what must be approved by a supervisor.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A strong answer identifies the point precisely and links it to the file.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The student should separate known facts from assumptions and missing information.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The answer should include a practical next step.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Tutor prompt: What evidence supports that point, what is still unverified, and what would you do next?</w:t>
      </w:r>
    </w:p>
    <w:p>
      <w:pPr>
        <w:spacing w:before="160" w:after="60"/>
      </w:pPr>
      <w:r>
        <w:rPr>
          <w:rFonts w:ascii="Calibri" w:hAnsi="Calibri" w:eastAsia="Calibri"/>
          <w:b/>
          <w:sz w:val="28"/>
        </w:rPr>
        <w:t>Model Output Structure</w:t>
      </w:r>
    </w:p>
    <w:p>
      <w:pPr>
        <w:spacing w:after="80" w:line="259" w:lineRule="auto"/>
      </w:pPr>
      <w:r>
        <w:rPr>
          <w:rFonts w:ascii="Calibri" w:hAnsi="Calibri" w:eastAsia="Calibri"/>
          <w:b/>
          <w:i w:val="0"/>
          <w:sz w:val="24"/>
        </w:rPr>
        <w:t>Bad news update email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Purpose: What happened, impact, next steps and timing.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Standard: Must avoid blame and panic.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Good answers should be concise, specific, careful and useful to the intended reader.</w:t>
      </w:r>
    </w:p>
    <w:p>
      <w:pPr>
        <w:spacing w:after="80" w:line="259" w:lineRule="auto"/>
      </w:pPr>
      <w:r>
        <w:rPr>
          <w:rFonts w:ascii="Calibri" w:hAnsi="Calibri" w:eastAsia="Calibri"/>
          <w:b/>
          <w:i w:val="0"/>
          <w:sz w:val="24"/>
        </w:rPr>
        <w:t>Tone check table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Purpose: Risky wording and better wording.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Standard: Must be client-sensitive.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Good answers should be concise, specific, careful and useful to the intended reader.</w:t>
      </w:r>
    </w:p>
    <w:p>
      <w:pPr>
        <w:spacing w:after="80" w:line="259" w:lineRule="auto"/>
      </w:pPr>
      <w:r>
        <w:rPr>
          <w:rFonts w:ascii="Calibri" w:hAnsi="Calibri" w:eastAsia="Calibri"/>
          <w:b/>
          <w:i w:val="0"/>
          <w:sz w:val="24"/>
        </w:rPr>
        <w:t>Supervisor approval note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Purpose: Points requiring approval before sending.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Standard: Must be concise.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Good answers should be concise, specific, careful and useful to the intended reader.</w:t>
      </w:r>
    </w:p>
    <w:p>
      <w:pPr>
        <w:spacing w:before="160" w:after="60"/>
      </w:pPr>
      <w:r>
        <w:rPr>
          <w:rFonts w:ascii="Calibri" w:hAnsi="Calibri" w:eastAsia="Calibri"/>
          <w:b/>
          <w:sz w:val="28"/>
        </w:rPr>
        <w:t>Accessibility and Inclusion Guidance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Use plain English in the debrief and explain any professional terms.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Allow students to ask for clarification of vocabulary or instructions.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Do not penalise students for non-native English style where the meaning is clear and professional.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Be aware that students may have different levels of familiarity with UK legal workplaces.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Encourage students to explain assumptions rather than hide uncertainty.</w:t>
      </w:r>
    </w:p>
    <w:p>
      <w:pPr>
        <w:spacing w:before="160" w:after="60"/>
      </w:pPr>
      <w:r>
        <w:rPr>
          <w:rFonts w:ascii="Calibri" w:hAnsi="Calibri" w:eastAsia="Calibri"/>
          <w:b/>
          <w:sz w:val="28"/>
        </w:rPr>
        <w:t>Common Student Mistakes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Giving a confident legal conclusion without checking the applicable framework.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Using long, complex language when a clear sentence would be better.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Missing the client or business objective.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Failing to separate facts from assumptions.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Not identifying what needs supervisor approval.</w:t>
      </w:r>
    </w:p>
    <w:p>
      <w:pPr>
        <w:spacing w:before="160" w:after="60"/>
      </w:pPr>
      <w:r>
        <w:rPr>
          <w:rFonts w:ascii="Calibri" w:hAnsi="Calibri" w:eastAsia="Calibri"/>
          <w:b/>
          <w:sz w:val="28"/>
        </w:rPr>
        <w:t>Debrief Questions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What would the client or supervisor need first?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What was the most important missing fact?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What would be risky to say too early?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How could the answer be made clearer for a reader whose first language is not English?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What practical habit should students take into the next simulation?</w:t>
      </w:r>
    </w:p>
    <w:p>
      <w:pPr>
        <w:jc w:val="center"/>
      </w:pPr>
      <w:r>
        <w:rPr>
          <w:i/>
          <w:sz w:val="18"/>
        </w:rPr>
        <w:t>PS-COM-02 | Communication Skills | LawBridge Professional Skills Course | Tutor Guide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699" w:right="979" w:bottom="1224" w:left="979" w:header="115" w:footer="11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drawing>
        <wp:inline xmlns:a="http://schemas.openxmlformats.org/drawingml/2006/main" xmlns:pic="http://schemas.openxmlformats.org/drawingml/2006/picture">
          <wp:extent cx="6400800" cy="1202436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awbridge_footer_small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400800" cy="1202436"/>
                  </a:xfrm>
                  <a:prstGeom prst="rect"/>
                </pic:spPr>
              </pic:pic>
            </a:graphicData>
          </a:graphic>
        </wp:inline>
      </w:drawing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6400800" cy="1632204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awbridge_header_small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400800" cy="1632204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2F2F2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2F2F2F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2F2F2F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Calibri" w:hAnsi="Calibri" w:eastAsia="Calibri"/>
      <w:sz w:val="24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