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C72A" w14:textId="0FD7E337" w:rsidR="00CE71F3" w:rsidRPr="00A0643A" w:rsidRDefault="00CE71F3" w:rsidP="00CE71F3">
      <w:pPr>
        <w:pStyle w:val="Ttulo1"/>
        <w:jc w:val="center"/>
        <w:rPr>
          <w:b/>
          <w:bCs/>
          <w:u w:val="single"/>
        </w:rPr>
      </w:pPr>
      <w:r w:rsidRPr="00A0643A">
        <w:rPr>
          <w:b/>
          <w:bCs/>
          <w:u w:val="single"/>
        </w:rPr>
        <w:t>Diccionario Cáncer de mama</w:t>
      </w:r>
    </w:p>
    <w:p w14:paraId="2BC1BCC4" w14:textId="77777777" w:rsidR="00CE71F3" w:rsidRPr="00AF1BBC" w:rsidRDefault="00CE71F3" w:rsidP="00AF1BBC">
      <w:pPr>
        <w:pStyle w:val="Ttulo2"/>
        <w:numPr>
          <w:ilvl w:val="0"/>
          <w:numId w:val="27"/>
        </w:numPr>
        <w:jc w:val="both"/>
        <w:rPr>
          <w:b/>
          <w:bCs/>
          <w:sz w:val="22"/>
          <w:szCs w:val="22"/>
        </w:rPr>
      </w:pPr>
      <w:r w:rsidRPr="00AF1BBC">
        <w:rPr>
          <w:b/>
          <w:bCs/>
          <w:sz w:val="22"/>
          <w:szCs w:val="22"/>
        </w:rPr>
        <w:t xml:space="preserve">Invasive lobular carcinoma (ILC) </w:t>
      </w:r>
    </w:p>
    <w:p w14:paraId="4FD93194" w14:textId="4C3F9E34" w:rsidR="00A9204E" w:rsidRPr="00AF1BBC" w:rsidRDefault="00CE71F3" w:rsidP="00AF1BBC">
      <w:pPr>
        <w:pStyle w:val="Ttulo2"/>
        <w:numPr>
          <w:ilvl w:val="0"/>
          <w:numId w:val="27"/>
        </w:numPr>
        <w:jc w:val="both"/>
        <w:rPr>
          <w:b/>
          <w:bCs/>
          <w:sz w:val="22"/>
          <w:szCs w:val="22"/>
        </w:rPr>
      </w:pPr>
      <w:r w:rsidRPr="00AF1BBC">
        <w:rPr>
          <w:b/>
          <w:bCs/>
          <w:sz w:val="22"/>
          <w:szCs w:val="22"/>
        </w:rPr>
        <w:t>Invasive ductal carcinoma (IDC)</w:t>
      </w:r>
    </w:p>
    <w:p w14:paraId="3FA4FD65" w14:textId="2A682D6D" w:rsidR="004E76C1" w:rsidRPr="00AF1BBC" w:rsidRDefault="004E76C1" w:rsidP="00AF1BBC">
      <w:pPr>
        <w:jc w:val="center"/>
      </w:pPr>
      <w:r w:rsidRPr="00AF1BBC">
        <w:rPr>
          <w:noProof/>
        </w:rPr>
        <w:drawing>
          <wp:inline distT="0" distB="0" distL="0" distR="0" wp14:anchorId="20638783" wp14:editId="35D1898D">
            <wp:extent cx="2331267" cy="1564841"/>
            <wp:effectExtent l="0" t="0" r="0" b="0"/>
            <wp:docPr id="1" name="Imagen 1" descr="Lobular Breast Cancer: Symptoms &amp;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bular Breast Cancer: Symptoms &amp; Treat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575" cy="1566390"/>
                    </a:xfrm>
                    <a:prstGeom prst="rect">
                      <a:avLst/>
                    </a:prstGeom>
                    <a:noFill/>
                    <a:ln>
                      <a:noFill/>
                    </a:ln>
                  </pic:spPr>
                </pic:pic>
              </a:graphicData>
            </a:graphic>
          </wp:inline>
        </w:drawing>
      </w:r>
      <w:r w:rsidRPr="00AF1BBC">
        <w:rPr>
          <w:noProof/>
        </w:rPr>
        <w:drawing>
          <wp:inline distT="0" distB="0" distL="0" distR="0" wp14:anchorId="79A377E0" wp14:editId="0F3ABEF2">
            <wp:extent cx="2394641" cy="153134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914" cy="1537910"/>
                    </a:xfrm>
                    <a:prstGeom prst="rect">
                      <a:avLst/>
                    </a:prstGeom>
                    <a:noFill/>
                    <a:ln>
                      <a:noFill/>
                    </a:ln>
                  </pic:spPr>
                </pic:pic>
              </a:graphicData>
            </a:graphic>
          </wp:inline>
        </w:drawing>
      </w:r>
    </w:p>
    <w:p w14:paraId="0F81DDB4" w14:textId="4B623FE4" w:rsidR="004E76C1" w:rsidRPr="00AF1BBC" w:rsidRDefault="004E76C1" w:rsidP="00AF1BBC">
      <w:pPr>
        <w:jc w:val="both"/>
      </w:pPr>
    </w:p>
    <w:p w14:paraId="7119D303" w14:textId="77777777" w:rsidR="004E76C1" w:rsidRPr="00AF1BBC" w:rsidRDefault="00CE71F3" w:rsidP="00AF1BBC">
      <w:pPr>
        <w:pStyle w:val="Ttulo2"/>
        <w:numPr>
          <w:ilvl w:val="0"/>
          <w:numId w:val="27"/>
        </w:numPr>
        <w:jc w:val="both"/>
        <w:rPr>
          <w:sz w:val="22"/>
          <w:szCs w:val="22"/>
        </w:rPr>
      </w:pPr>
      <w:r w:rsidRPr="00AF1BBC">
        <w:rPr>
          <w:b/>
          <w:bCs/>
          <w:sz w:val="22"/>
          <w:szCs w:val="22"/>
        </w:rPr>
        <w:t>E-cadherina:</w:t>
      </w:r>
      <w:r w:rsidRPr="00AF1BBC">
        <w:rPr>
          <w:sz w:val="22"/>
          <w:szCs w:val="22"/>
        </w:rPr>
        <w:t xml:space="preserve">  Es una prueba que emplea el anatomopatólogo a veces para determinar si el tumor es ductal o lobular.</w:t>
      </w:r>
    </w:p>
    <w:p w14:paraId="6A56DA30" w14:textId="77777777" w:rsidR="004E76C1" w:rsidRPr="00AF1BBC" w:rsidRDefault="00CE71F3" w:rsidP="00AF1BBC">
      <w:pPr>
        <w:pStyle w:val="Ttulo2"/>
        <w:numPr>
          <w:ilvl w:val="0"/>
          <w:numId w:val="27"/>
        </w:numPr>
        <w:jc w:val="both"/>
        <w:rPr>
          <w:sz w:val="22"/>
          <w:szCs w:val="22"/>
        </w:rPr>
      </w:pPr>
      <w:r w:rsidRPr="00AF1BBC">
        <w:rPr>
          <w:rStyle w:val="Ttulo2Car"/>
          <w:b/>
          <w:bCs/>
          <w:sz w:val="22"/>
          <w:szCs w:val="22"/>
        </w:rPr>
        <w:t>PTEN:</w:t>
      </w:r>
      <w:r w:rsidRPr="00AF1BBC">
        <w:rPr>
          <w:rStyle w:val="Ttulo2Car"/>
          <w:sz w:val="22"/>
          <w:szCs w:val="22"/>
        </w:rPr>
        <w:t xml:space="preserve"> </w:t>
      </w:r>
      <w:r w:rsidRPr="00AF1BBC">
        <w:rPr>
          <w:sz w:val="22"/>
          <w:szCs w:val="22"/>
        </w:rPr>
        <w:t>Proteína que ayuda a controlar muchas funciones celulares, como la multiplicación y la muerte de las células. Se han encontrado mutaciones (cambios) en el gen que origina la PTEN en muchos tipos de cáncer y otras enfermedades. Es un tipo de proteína supresora de tumores.</w:t>
      </w:r>
    </w:p>
    <w:p w14:paraId="52980402" w14:textId="7F3A6563" w:rsidR="004E76C1" w:rsidRPr="00AF1BBC" w:rsidRDefault="00CE71F3" w:rsidP="00AF1BBC">
      <w:pPr>
        <w:pStyle w:val="Ttulo2"/>
        <w:numPr>
          <w:ilvl w:val="0"/>
          <w:numId w:val="27"/>
        </w:numPr>
        <w:jc w:val="both"/>
        <w:rPr>
          <w:sz w:val="22"/>
          <w:szCs w:val="22"/>
        </w:rPr>
      </w:pPr>
      <w:r w:rsidRPr="00AF1BBC">
        <w:rPr>
          <w:rStyle w:val="Ttulo2Car"/>
          <w:b/>
          <w:bCs/>
          <w:sz w:val="22"/>
          <w:szCs w:val="22"/>
        </w:rPr>
        <w:t>TBX3</w:t>
      </w:r>
      <w:r w:rsidR="004E76C1" w:rsidRPr="00AF1BBC">
        <w:rPr>
          <w:rStyle w:val="Ttulo2Car"/>
          <w:b/>
          <w:bCs/>
          <w:sz w:val="22"/>
          <w:szCs w:val="22"/>
        </w:rPr>
        <w:t>:</w:t>
      </w:r>
      <w:r w:rsidRPr="00AF1BBC">
        <w:rPr>
          <w:rFonts w:ascii="NotoSans-Regular" w:hAnsi="NotoSans-Regular"/>
          <w:color w:val="005288"/>
          <w:sz w:val="22"/>
          <w:szCs w:val="22"/>
        </w:rPr>
        <w:t xml:space="preserve"> </w:t>
      </w:r>
      <w:r w:rsidRPr="00AF1BBC">
        <w:rPr>
          <w:sz w:val="22"/>
          <w:szCs w:val="22"/>
        </w:rPr>
        <w:t>es necesario para el desarrollo de miembros. Es esencial para el desarrollo de </w:t>
      </w:r>
      <w:hyperlink r:id="rId11" w:tooltip="Corazón" w:history="1">
        <w:r w:rsidRPr="00AF1BBC">
          <w:rPr>
            <w:sz w:val="22"/>
            <w:szCs w:val="22"/>
          </w:rPr>
          <w:t>corazón</w:t>
        </w:r>
      </w:hyperlink>
      <w:r w:rsidRPr="00AF1BBC">
        <w:rPr>
          <w:sz w:val="22"/>
          <w:szCs w:val="22"/>
        </w:rPr>
        <w:t>, extremidades, glándulas de</w:t>
      </w:r>
      <w:r w:rsidR="004E76C1" w:rsidRPr="00AF1BBC">
        <w:rPr>
          <w:sz w:val="22"/>
          <w:szCs w:val="22"/>
        </w:rPr>
        <w:t xml:space="preserve"> </w:t>
      </w:r>
      <w:r w:rsidRPr="00AF1BBC">
        <w:rPr>
          <w:sz w:val="22"/>
          <w:szCs w:val="22"/>
        </w:rPr>
        <w:t>la </w:t>
      </w:r>
      <w:hyperlink r:id="rId12" w:tooltip="Mama" w:history="1">
        <w:r w:rsidRPr="00AF1BBC">
          <w:rPr>
            <w:sz w:val="22"/>
            <w:szCs w:val="22"/>
          </w:rPr>
          <w:t>mama</w:t>
        </w:r>
      </w:hyperlink>
      <w:r w:rsidRPr="00AF1BBC">
        <w:rPr>
          <w:sz w:val="22"/>
          <w:szCs w:val="22"/>
        </w:rPr>
        <w:t>, </w:t>
      </w:r>
      <w:hyperlink r:id="rId13" w:tooltip="Dientes" w:history="1">
        <w:r w:rsidRPr="00AF1BBC">
          <w:rPr>
            <w:sz w:val="22"/>
            <w:szCs w:val="22"/>
          </w:rPr>
          <w:t>dientes</w:t>
        </w:r>
      </w:hyperlink>
      <w:r w:rsidRPr="00AF1BBC">
        <w:rPr>
          <w:sz w:val="22"/>
          <w:szCs w:val="22"/>
        </w:rPr>
        <w:t> y </w:t>
      </w:r>
      <w:r w:rsidR="004E76C1" w:rsidRPr="00AF1BBC">
        <w:rPr>
          <w:sz w:val="22"/>
          <w:szCs w:val="22"/>
        </w:rPr>
        <w:t>genitales. El</w:t>
      </w:r>
      <w:r w:rsidRPr="00AF1BBC">
        <w:rPr>
          <w:sz w:val="22"/>
          <w:szCs w:val="22"/>
        </w:rPr>
        <w:t xml:space="preserve"> déficit de TBX3 conduce a un síndrome conocido como Ulnar-mamario (UMS) caracterizado por la presencia de malformaciones por todo el cuerpo. Entre dichas malformaciones se encuentran anormalidades dentales, genitales y en las extremidades delanteras. Es una enfermedad autosómica dominante, caracterizada por mutaciones puntuales, mutaciones por inserción o por </w:t>
      </w:r>
      <w:hyperlink r:id="rId14" w:tooltip="Deleción" w:history="1">
        <w:r w:rsidRPr="00AF1BBC">
          <w:rPr>
            <w:sz w:val="22"/>
            <w:szCs w:val="22"/>
          </w:rPr>
          <w:t>deleción</w:t>
        </w:r>
      </w:hyperlink>
      <w:r w:rsidRPr="00AF1BBC">
        <w:rPr>
          <w:sz w:val="22"/>
          <w:szCs w:val="22"/>
        </w:rPr>
        <w:t> en TBX3, lo que demuestra la necesidad de TBX3 durante el desarrollo.</w:t>
      </w:r>
    </w:p>
    <w:p w14:paraId="76819F9C" w14:textId="77777777" w:rsidR="00400865" w:rsidRPr="00AF1BBC" w:rsidRDefault="00CE71F3" w:rsidP="00AF1BBC">
      <w:pPr>
        <w:pStyle w:val="Ttulo2"/>
        <w:numPr>
          <w:ilvl w:val="0"/>
          <w:numId w:val="27"/>
        </w:numPr>
        <w:jc w:val="both"/>
        <w:rPr>
          <w:sz w:val="22"/>
          <w:szCs w:val="22"/>
        </w:rPr>
      </w:pPr>
      <w:r w:rsidRPr="00AF1BBC">
        <w:rPr>
          <w:rStyle w:val="Ttulo2Car"/>
          <w:b/>
          <w:bCs/>
          <w:sz w:val="22"/>
          <w:szCs w:val="22"/>
        </w:rPr>
        <w:t>FOXA1</w:t>
      </w:r>
      <w:r w:rsidR="004E76C1" w:rsidRPr="00AF1BBC">
        <w:rPr>
          <w:rStyle w:val="Ttulo2Car"/>
          <w:b/>
          <w:bCs/>
          <w:sz w:val="22"/>
          <w:szCs w:val="22"/>
        </w:rPr>
        <w:t>:</w:t>
      </w:r>
      <w:r w:rsidR="004E76C1" w:rsidRPr="00AF1BBC">
        <w:rPr>
          <w:rFonts w:ascii="NotoSans-Regular" w:hAnsi="NotoSans-Regular"/>
          <w:color w:val="005288"/>
          <w:sz w:val="22"/>
          <w:szCs w:val="22"/>
        </w:rPr>
        <w:t xml:space="preserve"> </w:t>
      </w:r>
      <w:r w:rsidR="004E76C1" w:rsidRPr="00AF1BBC">
        <w:rPr>
          <w:sz w:val="22"/>
          <w:szCs w:val="22"/>
        </w:rPr>
        <w:t>en el cáncer de mama está altamente correlacionado con la expresión de proteínas ERα+, GATA3+ y PR+, así como con la señalización endocrina. FOXA1 actúa como factor pionero de ERa en el cáncer de mama ERα+, y su expresión podría identificar cánceres ERα+ que experimentan una rápida reprogramación de la señalización ERa que se asocia con malos resultados y resistencia al tratamiento [8]. Por el contrario, en el cáncer de mama ERα- FOXA1 está altamente correlacionado con una morfología de bajo grado y una mejor supervivencia libre de enfermedad. FOXA1 es una diana de GATA3 en la glándula mamaria [9]. La expresión en cánceres ERα- puede identificar un subconjunto de tumores que responden a otras terapias endocrinas como el tratamiento con antagonistas del receptor de andrógenos.</w:t>
      </w:r>
    </w:p>
    <w:p w14:paraId="3F427A35" w14:textId="20D7165D" w:rsidR="001A4EC3" w:rsidRDefault="001A4EC3" w:rsidP="00AF1BBC">
      <w:pPr>
        <w:pStyle w:val="Ttulo2"/>
        <w:numPr>
          <w:ilvl w:val="0"/>
          <w:numId w:val="27"/>
        </w:numPr>
        <w:jc w:val="both"/>
        <w:rPr>
          <w:sz w:val="22"/>
          <w:szCs w:val="22"/>
        </w:rPr>
      </w:pPr>
      <w:r w:rsidRPr="00AF1BBC">
        <w:rPr>
          <w:rStyle w:val="Ttulo2Car"/>
          <w:b/>
          <w:bCs/>
          <w:sz w:val="22"/>
          <w:szCs w:val="22"/>
        </w:rPr>
        <w:t xml:space="preserve">GATA-3: </w:t>
      </w:r>
      <w:r w:rsidR="00D874D8" w:rsidRPr="00AF1BBC">
        <w:rPr>
          <w:sz w:val="22"/>
          <w:szCs w:val="22"/>
        </w:rPr>
        <w:t>Es una proteína especializada que es producida por muchos tipos diferentes de células normales y sanas, incluidas las células de la piel, la mama, las glándulas salivales, los riñones, la vejiga y el sistema inmunológico. Los tumores que se originan en estos tipos de tejido también pueden producir GATA-3. Esta proteína también se puede encontrar en tumores que comienzan en tejidos que normalmente no producen GATA-3. Una vez que se produce la proteína GATA-3, se encuentra en el </w:t>
      </w:r>
      <w:hyperlink r:id="rId15" w:history="1">
        <w:r w:rsidR="00D874D8" w:rsidRPr="00AF1BBC">
          <w:rPr>
            <w:sz w:val="22"/>
            <w:szCs w:val="22"/>
          </w:rPr>
          <w:t>núcleo</w:t>
        </w:r>
      </w:hyperlink>
      <w:r w:rsidR="00D874D8" w:rsidRPr="00AF1BBC">
        <w:rPr>
          <w:sz w:val="22"/>
          <w:szCs w:val="22"/>
        </w:rPr>
        <w:t> de la celda. El núcleo es la parte </w:t>
      </w:r>
      <w:r w:rsidR="00400865" w:rsidRPr="00AF1BBC">
        <w:rPr>
          <w:sz w:val="22"/>
          <w:szCs w:val="22"/>
        </w:rPr>
        <w:t>de la célula que contiene la mayor parte del material genético (ADN) de la célula.</w:t>
      </w:r>
    </w:p>
    <w:p w14:paraId="3F8AA4DC" w14:textId="7420C215" w:rsidR="00AE52A8" w:rsidRPr="00E61EAF" w:rsidRDefault="00AA605C" w:rsidP="00AA605C">
      <w:pPr>
        <w:pStyle w:val="Prrafodelista"/>
        <w:numPr>
          <w:ilvl w:val="0"/>
          <w:numId w:val="27"/>
        </w:numPr>
        <w:jc w:val="both"/>
        <w:rPr>
          <w:rFonts w:ascii="Calibri Light" w:eastAsiaTheme="majorEastAsia" w:hAnsi="Calibri Light" w:cs="Calibri Light"/>
          <w:b/>
          <w:bCs/>
          <w:color w:val="1F4E79" w:themeColor="accent1" w:themeShade="80"/>
        </w:rPr>
      </w:pPr>
      <w:r w:rsidRPr="00AA605C">
        <w:rPr>
          <w:rStyle w:val="Ttulo2Car"/>
          <w:b/>
          <w:bCs/>
          <w:sz w:val="22"/>
          <w:szCs w:val="22"/>
        </w:rPr>
        <w:t>¿Qué es peor HER2 negativo o positivo?</w:t>
      </w:r>
      <w:r>
        <w:rPr>
          <w:rStyle w:val="Ttulo2Car"/>
          <w:b/>
          <w:bCs/>
          <w:sz w:val="22"/>
          <w:szCs w:val="22"/>
        </w:rPr>
        <w:t xml:space="preserve">: </w:t>
      </w:r>
      <w:r w:rsidRPr="00AA605C">
        <w:rPr>
          <w:rFonts w:ascii="Calibri Light" w:eastAsiaTheme="majorEastAsia" w:hAnsi="Calibri Light" w:cs="Calibri Light"/>
          <w:color w:val="1F4E79" w:themeColor="accent1" w:themeShade="80"/>
        </w:rPr>
        <w:t>Los cánceres con niveles bajos de esta proteína se conocen como HER2 negativos. Alrededor del 20 por ciento de los cánceres de seno son HER2-positivos. Los cánceres HER2 positivos tienden a crecer y extenderse más rápidamente que otros tipos de cáncer de seno.</w:t>
      </w:r>
    </w:p>
    <w:p w14:paraId="733CAFD0" w14:textId="201045BD" w:rsidR="00E61EAF" w:rsidRDefault="002A6372" w:rsidP="002A6372">
      <w:pPr>
        <w:pStyle w:val="Prrafodelista"/>
        <w:numPr>
          <w:ilvl w:val="0"/>
          <w:numId w:val="27"/>
        </w:numPr>
        <w:jc w:val="both"/>
        <w:rPr>
          <w:rFonts w:ascii="Calibri Light" w:eastAsiaTheme="majorEastAsia" w:hAnsi="Calibri Light" w:cs="Calibri Light"/>
          <w:color w:val="1F4E79" w:themeColor="accent1" w:themeShade="80"/>
        </w:rPr>
      </w:pPr>
      <w:r w:rsidRPr="002A6372">
        <w:rPr>
          <w:rFonts w:ascii="Calibri Light" w:eastAsiaTheme="majorEastAsia" w:hAnsi="Calibri Light" w:cs="Calibri Light"/>
          <w:b/>
          <w:bCs/>
          <w:color w:val="1F4E79" w:themeColor="accent1" w:themeShade="80"/>
        </w:rPr>
        <w:t>¿Qué es la fracción del genoma?</w:t>
      </w:r>
      <w:r>
        <w:rPr>
          <w:rFonts w:ascii="Calibri Light" w:eastAsiaTheme="majorEastAsia" w:hAnsi="Calibri Light" w:cs="Calibri Light"/>
          <w:b/>
          <w:bCs/>
          <w:color w:val="1F4E79" w:themeColor="accent1" w:themeShade="80"/>
        </w:rPr>
        <w:t xml:space="preserve">: </w:t>
      </w:r>
      <w:r w:rsidRPr="002A6372">
        <w:rPr>
          <w:rFonts w:ascii="Calibri Light" w:eastAsiaTheme="majorEastAsia" w:hAnsi="Calibri Light" w:cs="Calibri Light"/>
          <w:color w:val="1F4E79" w:themeColor="accent1" w:themeShade="80"/>
        </w:rPr>
        <w:t>La fracción de genoma alterado es el porcentaje de genoma que se ha visto afectado por las ganancias o pérdidas del número de copias. El total de mutaciones se refiere al número de mutaciones que se encuentran en el genoma del tumor.</w:t>
      </w:r>
    </w:p>
    <w:p w14:paraId="1A8D2354" w14:textId="76632A88" w:rsidR="001E0488" w:rsidRPr="001E0488" w:rsidRDefault="001E0488" w:rsidP="001E0488">
      <w:pPr>
        <w:pStyle w:val="Prrafodelista"/>
        <w:numPr>
          <w:ilvl w:val="0"/>
          <w:numId w:val="27"/>
        </w:numPr>
        <w:jc w:val="both"/>
        <w:rPr>
          <w:rFonts w:ascii="Calibri Light" w:eastAsiaTheme="majorEastAsia" w:hAnsi="Calibri Light" w:cs="Calibri Light"/>
          <w:b/>
          <w:bCs/>
          <w:color w:val="1F4E79" w:themeColor="accent1" w:themeShade="80"/>
        </w:rPr>
      </w:pPr>
      <w:r w:rsidRPr="001E0488">
        <w:rPr>
          <w:rFonts w:ascii="Calibri Light" w:eastAsiaTheme="majorEastAsia" w:hAnsi="Calibri Light" w:cs="Calibri Light"/>
          <w:b/>
          <w:bCs/>
          <w:color w:val="1F4E79" w:themeColor="accent1" w:themeShade="80"/>
        </w:rPr>
        <w:lastRenderedPageBreak/>
        <w:t>¿Qué son los marcadores IHC en el cáncer de mama?</w:t>
      </w:r>
      <w:r>
        <w:rPr>
          <w:rFonts w:ascii="Calibri Light" w:eastAsiaTheme="majorEastAsia" w:hAnsi="Calibri Light" w:cs="Calibri Light"/>
          <w:b/>
          <w:bCs/>
          <w:color w:val="1F4E79" w:themeColor="accent1" w:themeShade="80"/>
        </w:rPr>
        <w:t xml:space="preserve">: </w:t>
      </w:r>
      <w:r w:rsidRPr="001E0488">
        <w:rPr>
          <w:rFonts w:ascii="Calibri Light" w:eastAsiaTheme="majorEastAsia" w:hAnsi="Calibri Light" w:cs="Calibri Light"/>
          <w:color w:val="1F4E79" w:themeColor="accent1" w:themeShade="80"/>
        </w:rPr>
        <w:t>Los marcadores inmunohistoquímicos se utilizan a menudo para orientar las decisiones terapéuticas, para clasificar el cáncer de mama en subtipos biológicamente distintos y que se comportan de manera diferente, y como factores pronósticos y predictivos.</w:t>
      </w:r>
    </w:p>
    <w:p w14:paraId="5DB23CF2" w14:textId="576C64FD" w:rsidR="001E0488" w:rsidRDefault="001E0488" w:rsidP="001E0488">
      <w:pPr>
        <w:pStyle w:val="Prrafodelista"/>
        <w:numPr>
          <w:ilvl w:val="0"/>
          <w:numId w:val="27"/>
        </w:numPr>
        <w:jc w:val="both"/>
        <w:rPr>
          <w:rFonts w:ascii="Calibri Light" w:eastAsiaTheme="majorEastAsia" w:hAnsi="Calibri Light" w:cs="Calibri Light"/>
          <w:color w:val="1F4E79" w:themeColor="accent1" w:themeShade="80"/>
        </w:rPr>
      </w:pPr>
      <w:r w:rsidRPr="001E0488">
        <w:rPr>
          <w:rFonts w:ascii="Calibri Light" w:eastAsiaTheme="majorEastAsia" w:hAnsi="Calibri Light" w:cs="Calibri Light"/>
          <w:b/>
          <w:bCs/>
          <w:color w:val="1F4E79" w:themeColor="accent1" w:themeShade="80"/>
        </w:rPr>
        <w:t>¿Qué significa IHC positivo?:</w:t>
      </w:r>
      <w:r>
        <w:rPr>
          <w:rFonts w:ascii="Calibri Light" w:eastAsiaTheme="majorEastAsia" w:hAnsi="Calibri Light" w:cs="Calibri Light"/>
          <w:color w:val="1F4E79" w:themeColor="accent1" w:themeShade="80"/>
        </w:rPr>
        <w:t xml:space="preserve"> </w:t>
      </w:r>
      <w:r w:rsidRPr="001E0488">
        <w:rPr>
          <w:rFonts w:ascii="Calibri Light" w:eastAsiaTheme="majorEastAsia" w:hAnsi="Calibri Light" w:cs="Calibri Light"/>
          <w:color w:val="1F4E79" w:themeColor="accent1" w:themeShade="80"/>
        </w:rPr>
        <w:t>Un resultado positivo significa que el laboratorio ha detectado un cambio concreto en las proteínas de su tumor. Esto significa que es posible que padezca una enfermedad genética hereditaria y que se recomienda realizar más pruebas genéticas. En algunos casos, el resultado de la prueba se sitúa entre el rango positivo y el negativo.</w:t>
      </w:r>
    </w:p>
    <w:p w14:paraId="680633E3" w14:textId="26BAD28F"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estrógeno positivo</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Las células de este tipo de cáncer mamario tienen receptores que les permiten usar la hormona llamada estrógeno para crecer. El tratamiento con la terapia hormonal antiestrogénica (endocrina) puede impedir el crecimiento de las células cancerosas.</w:t>
      </w:r>
    </w:p>
    <w:p w14:paraId="51018A78" w14:textId="72698FB0"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progesterona positivo</w:t>
      </w:r>
      <w:r w:rsidR="006A446B">
        <w:rPr>
          <w:rFonts w:ascii="Calibri Light" w:eastAsiaTheme="majorEastAsia" w:hAnsi="Calibri Light" w:cs="Calibri Light"/>
          <w:b/>
          <w:bCs/>
          <w:color w:val="1F4E79" w:themeColor="accent1" w:themeShade="80"/>
        </w:rPr>
        <w:t>:</w:t>
      </w:r>
      <w:r w:rsidRPr="00F9279F">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Este tipo de cáncer mamario es sensible a la progesterona, y las células tienen receptores que les permiten utilizar esta hormona para crecer. El tratamiento con la terapia endocrina impide el crecimiento de las células cancerosas.</w:t>
      </w:r>
    </w:p>
    <w:p w14:paraId="328B605B" w14:textId="3E0FC614" w:rsidR="00631987"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hormonal negativo</w:t>
      </w:r>
      <w:r w:rsidR="006A446B">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Este tipo de cáncer no tiene receptores hormonales; por lo tanto, no se verá afectado por los tratamientos endocrinos que tienen por objetivo bloquear las hormonas en el cuerpo.</w:t>
      </w:r>
    </w:p>
    <w:p w14:paraId="343DB3F0" w14:textId="44BA945F" w:rsidR="00EE7B02" w:rsidRDefault="00EE7B02" w:rsidP="00EE7B02">
      <w:pPr>
        <w:pStyle w:val="Prrafodelista"/>
        <w:numPr>
          <w:ilvl w:val="0"/>
          <w:numId w:val="27"/>
        </w:numPr>
        <w:jc w:val="both"/>
        <w:rPr>
          <w:rFonts w:ascii="Calibri Light" w:eastAsiaTheme="majorEastAsia" w:hAnsi="Calibri Light" w:cs="Calibri Light"/>
          <w:color w:val="1F4E79" w:themeColor="accent1" w:themeShade="80"/>
        </w:rPr>
      </w:pPr>
      <w:r w:rsidRPr="00EE7B02">
        <w:rPr>
          <w:rFonts w:ascii="Calibri Light" w:eastAsiaTheme="majorEastAsia" w:hAnsi="Calibri Light" w:cs="Calibri Light"/>
          <w:b/>
          <w:bCs/>
          <w:color w:val="1F4E79" w:themeColor="accent1" w:themeShade="80"/>
        </w:rPr>
        <w:t>FFPE</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w:t>
      </w:r>
      <w:r>
        <w:rPr>
          <w:rFonts w:ascii="Calibri Light" w:eastAsiaTheme="majorEastAsia" w:hAnsi="Calibri Light" w:cs="Calibri Light"/>
          <w:color w:val="1F4E79" w:themeColor="accent1" w:themeShade="80"/>
        </w:rPr>
        <w:t>L</w:t>
      </w:r>
      <w:r w:rsidRPr="00EE7B02">
        <w:rPr>
          <w:rFonts w:ascii="Calibri Light" w:eastAsiaTheme="majorEastAsia" w:hAnsi="Calibri Light" w:cs="Calibri Light"/>
          <w:color w:val="1F4E79" w:themeColor="accent1" w:themeShade="80"/>
        </w:rPr>
        <w:t>as muestras de tejido fijado con formalina e incrustado en parafina (FFPE) se archivan de forma habitual durante el tratamiento y el cuidado de los pacientes.</w:t>
      </w:r>
    </w:p>
    <w:p w14:paraId="44DAEB10" w14:textId="5E635301" w:rsidR="005C72B4" w:rsidRPr="005C72B4"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5C72B4">
        <w:rPr>
          <w:rFonts w:ascii="Calibri Light" w:eastAsiaTheme="majorEastAsia" w:hAnsi="Calibri Light" w:cs="Calibri Light"/>
          <w:b/>
          <w:bCs/>
          <w:color w:val="1F4E79" w:themeColor="accent1" w:themeShade="80"/>
        </w:rPr>
        <w:t>Cancer Stage:</w:t>
      </w:r>
      <w:r>
        <w:rPr>
          <w:rFonts w:ascii="Calibri Light" w:eastAsiaTheme="majorEastAsia" w:hAnsi="Calibri Light" w:cs="Calibri Light"/>
          <w:color w:val="1F4E79" w:themeColor="accent1" w:themeShade="80"/>
          <w:lang w:val="en-US"/>
        </w:rPr>
        <w:t xml:space="preserve"> </w:t>
      </w:r>
      <w:hyperlink r:id="rId16" w:history="1">
        <w:r w:rsidRPr="008E1254">
          <w:rPr>
            <w:rStyle w:val="Hipervnculo"/>
            <w:rFonts w:ascii="Calibri Light" w:eastAsiaTheme="majorEastAsia" w:hAnsi="Calibri Light" w:cs="Calibri Light"/>
            <w:lang w:val="en-US"/>
          </w:rPr>
          <w:t>https://www.facs.org/quality-programs/cancer-programs/american-joint-committee-on-cancer/cancer-staging-systems/</w:t>
        </w:r>
      </w:hyperlink>
    </w:p>
    <w:p w14:paraId="2F5F8651" w14:textId="039C6DA5" w:rsidR="005C72B4" w:rsidRPr="005C72B4" w:rsidRDefault="005C72B4" w:rsidP="00AA0DBB">
      <w:pPr>
        <w:pStyle w:val="Prrafodelista"/>
        <w:numPr>
          <w:ilvl w:val="0"/>
          <w:numId w:val="27"/>
        </w:numPr>
        <w:rPr>
          <w:rFonts w:ascii="Calibri Light" w:eastAsiaTheme="majorEastAsia" w:hAnsi="Calibri Light" w:cs="Calibri Light"/>
          <w:color w:val="1F4E79" w:themeColor="accent1" w:themeShade="80"/>
        </w:rPr>
      </w:pPr>
      <w:r w:rsidRPr="005C72B4">
        <w:rPr>
          <w:rFonts w:ascii="Calibri Light" w:eastAsiaTheme="majorEastAsia" w:hAnsi="Calibri Light" w:cs="Calibri Light"/>
          <w:b/>
          <w:bCs/>
          <w:color w:val="1F4E79" w:themeColor="accent1" w:themeShade="80"/>
        </w:rPr>
        <w:t>mx</w:t>
      </w:r>
      <w:r w:rsidRPr="005C72B4">
        <w:rPr>
          <w:rFonts w:ascii="Calibri Light" w:eastAsiaTheme="majorEastAsia" w:hAnsi="Calibri Light" w:cs="Calibri Light"/>
          <w:b/>
          <w:bCs/>
          <w:color w:val="1F4E79" w:themeColor="accent1" w:themeShade="80"/>
        </w:rPr>
        <w:t xml:space="preserve"> </w:t>
      </w:r>
      <w:r w:rsidRPr="005C72B4">
        <w:rPr>
          <w:rFonts w:ascii="Calibri Light" w:eastAsiaTheme="majorEastAsia" w:hAnsi="Calibri Light" w:cs="Calibri Light"/>
          <w:color w:val="1F4E79" w:themeColor="accent1" w:themeShade="80"/>
        </w:rPr>
        <w:t xml:space="preserve"> </w:t>
      </w:r>
      <w:hyperlink r:id="rId17" w:history="1">
        <w:r w:rsidRPr="005C72B4">
          <w:rPr>
            <w:rStyle w:val="Hipervnculo"/>
            <w:rFonts w:ascii="Calibri Light" w:eastAsiaTheme="majorEastAsia" w:hAnsi="Calibri Light" w:cs="Calibri Light"/>
          </w:rPr>
          <w:t>https://www.cancer.gov/about-cancer/diagnosis-staging/staging</w:t>
        </w:r>
      </w:hyperlink>
    </w:p>
    <w:p w14:paraId="62E9F6F6" w14:textId="0246C2BA" w:rsidR="005C72B4" w:rsidRPr="00AA0DBB"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5C72B4">
        <w:rPr>
          <w:rFonts w:ascii="Calibri Light" w:eastAsiaTheme="majorEastAsia" w:hAnsi="Calibri Light" w:cs="Calibri Light"/>
          <w:b/>
          <w:bCs/>
          <w:color w:val="1F4E79" w:themeColor="accent1" w:themeShade="80"/>
        </w:rPr>
        <w:t>cM0 (i+</w:t>
      </w:r>
      <w:r w:rsidRPr="005C72B4">
        <w:rPr>
          <w:rFonts w:ascii="Calibri Light" w:eastAsiaTheme="majorEastAsia" w:hAnsi="Calibri Light" w:cs="Calibri Light"/>
          <w:b/>
          <w:bCs/>
          <w:color w:val="1F4E79" w:themeColor="accent1" w:themeShade="80"/>
        </w:rPr>
        <w:t>):</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18" w:history="1">
        <w:r w:rsidRPr="005C72B4">
          <w:rPr>
            <w:rStyle w:val="Hipervnculo"/>
            <w:rFonts w:ascii="Calibri Light" w:eastAsiaTheme="majorEastAsia" w:hAnsi="Calibri Light" w:cs="Calibri Light"/>
            <w:lang w:val="en-US"/>
          </w:rPr>
          <w:t>https://www.ncbi.nlm.nih.gov/medgen/474091</w:t>
        </w:r>
      </w:hyperlink>
    </w:p>
    <w:p w14:paraId="6FA8F96A" w14:textId="2C933B98" w:rsidR="00AA0DBB" w:rsidRDefault="00AA0DBB"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 xml:space="preserve">n1a: </w:t>
      </w:r>
      <w:hyperlink r:id="rId19" w:history="1">
        <w:r w:rsidR="00124272" w:rsidRPr="008E1254">
          <w:rPr>
            <w:rStyle w:val="Hipervnculo"/>
            <w:rFonts w:ascii="Calibri Light" w:eastAsiaTheme="majorEastAsia" w:hAnsi="Calibri Light" w:cs="Calibri Light"/>
            <w:lang w:val="en-US"/>
          </w:rPr>
          <w:t>https://www.cancer.org/cancer/breast-cancer/understanding-a-breast-cancer-diagnosis/stages-of-breast-cancer.html</w:t>
        </w:r>
      </w:hyperlink>
    </w:p>
    <w:p w14:paraId="4253ADCE" w14:textId="536F9370" w:rsidR="00124272" w:rsidRDefault="00124272" w:rsidP="00AA0DBB">
      <w:pPr>
        <w:pStyle w:val="Prrafodelista"/>
        <w:numPr>
          <w:ilvl w:val="0"/>
          <w:numId w:val="27"/>
        </w:numPr>
        <w:rPr>
          <w:rFonts w:ascii="Calibri Light" w:eastAsiaTheme="majorEastAsia" w:hAnsi="Calibri Light" w:cs="Calibri Light"/>
          <w:color w:val="1F4E79" w:themeColor="accent1" w:themeShade="80"/>
          <w:lang w:val="en-US"/>
        </w:rPr>
      </w:pPr>
      <w:r w:rsidRPr="00002BB6">
        <w:rPr>
          <w:rFonts w:ascii="Calibri Light" w:eastAsiaTheme="majorEastAsia" w:hAnsi="Calibri Light" w:cs="Calibri Light"/>
          <w:b/>
          <w:bCs/>
          <w:color w:val="1F4E79" w:themeColor="accent1" w:themeShade="80"/>
          <w:lang w:val="en-US"/>
        </w:rPr>
        <w:t>n</w:t>
      </w:r>
      <w:r w:rsidRPr="00002BB6">
        <w:rPr>
          <w:rFonts w:ascii="Calibri Light" w:eastAsiaTheme="majorEastAsia" w:hAnsi="Calibri Light" w:cs="Calibri Light"/>
          <w:b/>
          <w:bCs/>
          <w:color w:val="1F4E79" w:themeColor="accent1" w:themeShade="80"/>
          <w:lang w:val="en-US"/>
        </w:rPr>
        <w:t>0 (</w:t>
      </w:r>
      <w:r w:rsidRPr="00002BB6">
        <w:rPr>
          <w:rFonts w:ascii="Calibri Light" w:eastAsiaTheme="majorEastAsia" w:hAnsi="Calibri Light" w:cs="Calibri Light"/>
          <w:b/>
          <w:bCs/>
          <w:color w:val="1F4E79" w:themeColor="accent1" w:themeShade="80"/>
          <w:lang w:val="en-US"/>
        </w:rPr>
        <w:t>i-</w:t>
      </w:r>
      <w:r w:rsidRPr="00002BB6">
        <w:rPr>
          <w:rFonts w:ascii="Calibri Light" w:eastAsiaTheme="majorEastAsia" w:hAnsi="Calibri Light" w:cs="Calibri Light"/>
          <w:b/>
          <w:bCs/>
          <w:color w:val="1F4E79" w:themeColor="accent1" w:themeShade="80"/>
          <w:lang w:val="en-US"/>
        </w:rPr>
        <w:t>):</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20" w:history="1">
        <w:r w:rsidR="00002BB6" w:rsidRPr="008E1254">
          <w:rPr>
            <w:rStyle w:val="Hipervnculo"/>
            <w:rFonts w:ascii="Calibri Light" w:eastAsiaTheme="majorEastAsia" w:hAnsi="Calibri Light" w:cs="Calibri Light"/>
            <w:lang w:val="en-US"/>
          </w:rPr>
          <w:t>https://www.ncbi.nlm.nih.gov/medgen/474073</w:t>
        </w:r>
      </w:hyperlink>
    </w:p>
    <w:p w14:paraId="7A78091C" w14:textId="6732AF27" w:rsidR="00AF0164" w:rsidRPr="00A17E3E" w:rsidRDefault="00AF0164" w:rsidP="00AA0DBB">
      <w:pPr>
        <w:pStyle w:val="Prrafodelista"/>
        <w:numPr>
          <w:ilvl w:val="0"/>
          <w:numId w:val="27"/>
        </w:numPr>
        <w:rPr>
          <w:rFonts w:ascii="Calibri Light" w:eastAsiaTheme="majorEastAsia" w:hAnsi="Calibri Light" w:cs="Calibri Light"/>
          <w:color w:val="1F4E79" w:themeColor="accent1" w:themeShade="80"/>
          <w:lang w:val="en-US"/>
        </w:rPr>
      </w:pPr>
      <w:r w:rsidRPr="00AF0164">
        <w:rPr>
          <w:rFonts w:ascii="Calibri Light" w:eastAsiaTheme="majorEastAsia" w:hAnsi="Calibri Light" w:cs="Calibri Light"/>
          <w:b/>
          <w:bCs/>
          <w:color w:val="1F4E79" w:themeColor="accent1" w:themeShade="80"/>
          <w:lang w:val="es-CO"/>
        </w:rPr>
        <w:t>Neoplasia:</w:t>
      </w:r>
      <w:r w:rsidRPr="00AF0164">
        <w:rPr>
          <w:rFonts w:ascii="Calibri Light" w:eastAsiaTheme="majorEastAsia" w:hAnsi="Calibri Light" w:cs="Calibri Light"/>
          <w:color w:val="1F4E79" w:themeColor="accent1" w:themeShade="80"/>
          <w:lang w:val="es-CO"/>
        </w:rPr>
        <w:t xml:space="preserve"> </w:t>
      </w:r>
      <w:r w:rsidRPr="00AF0164">
        <w:rPr>
          <w:rFonts w:ascii="Calibri Light" w:eastAsiaTheme="majorEastAsia" w:hAnsi="Calibri Light" w:cs="Calibri Light"/>
          <w:color w:val="1F4E79" w:themeColor="accent1" w:themeShade="80"/>
        </w:rPr>
        <w:t>Masa anormal de tejido que aparece cuando las células se multiplican más de lo debido o no se mueren cuando deberían. Las neoplasias son benignas (no cancerosas) o malignas (cancerosas).</w:t>
      </w:r>
    </w:p>
    <w:p w14:paraId="1E7650D9" w14:textId="545A3735" w:rsidR="00A17E3E" w:rsidRDefault="00A17E3E" w:rsidP="00AA0DBB">
      <w:pPr>
        <w:pStyle w:val="Prrafodelista"/>
        <w:numPr>
          <w:ilvl w:val="0"/>
          <w:numId w:val="27"/>
        </w:numPr>
        <w:rPr>
          <w:rFonts w:ascii="Calibri Light" w:eastAsiaTheme="majorEastAsia" w:hAnsi="Calibri Light" w:cs="Calibri Light"/>
          <w:color w:val="1F4E79" w:themeColor="accent1" w:themeShade="80"/>
          <w:lang w:val="en-US"/>
        </w:rPr>
      </w:pPr>
      <w:r w:rsidRPr="00A17E3E">
        <w:rPr>
          <w:rFonts w:ascii="Calibri Light" w:eastAsiaTheme="majorEastAsia" w:hAnsi="Calibri Light" w:cs="Calibri Light"/>
          <w:b/>
          <w:bCs/>
          <w:color w:val="1F4E79" w:themeColor="accent1" w:themeShade="80"/>
          <w:lang w:val="en-US"/>
        </w:rPr>
        <w:t xml:space="preserve">Breast </w:t>
      </w:r>
      <w:r>
        <w:rPr>
          <w:rFonts w:ascii="Calibri Light" w:eastAsiaTheme="majorEastAsia" w:hAnsi="Calibri Light" w:cs="Calibri Light"/>
          <w:b/>
          <w:bCs/>
          <w:color w:val="1F4E79" w:themeColor="accent1" w:themeShade="80"/>
          <w:lang w:val="en-US"/>
        </w:rPr>
        <w:t>Stages</w:t>
      </w:r>
      <w:r w:rsidR="00077C9E">
        <w:rPr>
          <w:rFonts w:ascii="Calibri Light" w:eastAsiaTheme="majorEastAsia" w:hAnsi="Calibri Light" w:cs="Calibri Light"/>
          <w:b/>
          <w:bCs/>
          <w:color w:val="1F4E79" w:themeColor="accent1" w:themeShade="80"/>
          <w:lang w:val="en-US"/>
        </w:rPr>
        <w:t xml:space="preserve"> Detailed</w:t>
      </w:r>
      <w:r w:rsidRPr="00A17E3E">
        <w:rPr>
          <w:rFonts w:ascii="Calibri Light" w:eastAsiaTheme="majorEastAsia" w:hAnsi="Calibri Light" w:cs="Calibri Light"/>
          <w:b/>
          <w:bCs/>
          <w:color w:val="1F4E79" w:themeColor="accent1" w:themeShade="80"/>
          <w:lang w:val="en-US"/>
        </w:rPr>
        <w:t>:</w:t>
      </w:r>
      <w:r w:rsidRPr="00A17E3E">
        <w:rPr>
          <w:rFonts w:ascii="Calibri Light" w:eastAsiaTheme="majorEastAsia" w:hAnsi="Calibri Light" w:cs="Calibri Light"/>
          <w:color w:val="1F4E79" w:themeColor="accent1" w:themeShade="80"/>
          <w:lang w:val="en-US"/>
        </w:rPr>
        <w:t xml:space="preserve"> </w:t>
      </w:r>
      <w:hyperlink r:id="rId21" w:history="1">
        <w:r w:rsidR="00E423E9" w:rsidRPr="008E1254">
          <w:rPr>
            <w:rStyle w:val="Hipervnculo"/>
            <w:rFonts w:ascii="Calibri Light" w:eastAsiaTheme="majorEastAsia" w:hAnsi="Calibri Light" w:cs="Calibri Light"/>
            <w:lang w:val="en-US"/>
          </w:rPr>
          <w:t>https://www.cancer.net/cancer-types/breast-cancer/stages</w:t>
        </w:r>
      </w:hyperlink>
    </w:p>
    <w:p w14:paraId="55BB5C10" w14:textId="527D0F0C" w:rsidR="00E423E9" w:rsidRPr="00A17E3E" w:rsidRDefault="00E423E9"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AllredScore:</w:t>
      </w:r>
      <w:r>
        <w:rPr>
          <w:rFonts w:ascii="Calibri Light" w:eastAsiaTheme="majorEastAsia" w:hAnsi="Calibri Light" w:cs="Calibri Light"/>
          <w:color w:val="1F4E79" w:themeColor="accent1" w:themeShade="80"/>
          <w:lang w:val="en-US"/>
        </w:rPr>
        <w:t xml:space="preserve"> </w:t>
      </w:r>
      <w:r w:rsidRPr="00E423E9">
        <w:rPr>
          <w:rFonts w:ascii="Calibri Light" w:eastAsiaTheme="majorEastAsia" w:hAnsi="Calibri Light" w:cs="Calibri Light"/>
          <w:color w:val="1F4E79" w:themeColor="accent1" w:themeShade="80"/>
          <w:lang w:val="en-US"/>
        </w:rPr>
        <w:t>https://medicalcriteria.com/web/es/allred/</w:t>
      </w:r>
    </w:p>
    <w:p w14:paraId="6CCA4371" w14:textId="77777777" w:rsidR="00002BB6" w:rsidRPr="00A17E3E" w:rsidRDefault="00002BB6" w:rsidP="00002BB6">
      <w:pPr>
        <w:rPr>
          <w:rFonts w:ascii="Calibri Light" w:eastAsiaTheme="majorEastAsia" w:hAnsi="Calibri Light" w:cs="Calibri Light"/>
          <w:color w:val="1F4E79" w:themeColor="accent1" w:themeShade="80"/>
          <w:lang w:val="en-US"/>
        </w:rPr>
      </w:pPr>
    </w:p>
    <w:p w14:paraId="2E1D972F" w14:textId="77777777" w:rsidR="005C72B4" w:rsidRPr="00A17E3E" w:rsidRDefault="005C72B4" w:rsidP="005C72B4">
      <w:pPr>
        <w:pStyle w:val="Prrafodelista"/>
        <w:jc w:val="both"/>
        <w:rPr>
          <w:rFonts w:ascii="Calibri Light" w:eastAsiaTheme="majorEastAsia" w:hAnsi="Calibri Light" w:cs="Calibri Light"/>
          <w:color w:val="1F4E79" w:themeColor="accent1" w:themeShade="80"/>
          <w:lang w:val="en-US"/>
        </w:rPr>
      </w:pPr>
    </w:p>
    <w:p w14:paraId="1EB331EC" w14:textId="77777777" w:rsidR="005C72B4" w:rsidRPr="00A17E3E" w:rsidRDefault="005C72B4" w:rsidP="005C72B4">
      <w:pPr>
        <w:pStyle w:val="Prrafodelista"/>
        <w:jc w:val="both"/>
        <w:rPr>
          <w:rFonts w:ascii="Calibri Light" w:eastAsiaTheme="majorEastAsia" w:hAnsi="Calibri Light" w:cs="Calibri Light"/>
          <w:color w:val="1F4E79" w:themeColor="accent1" w:themeShade="80"/>
          <w:u w:val="single"/>
          <w:lang w:val="en-US"/>
        </w:rPr>
      </w:pPr>
    </w:p>
    <w:p w14:paraId="61AF9F98" w14:textId="78877F9B" w:rsidR="00A173F2" w:rsidRPr="00A17E3E" w:rsidRDefault="00A173F2" w:rsidP="00CE71F3">
      <w:pPr>
        <w:rPr>
          <w:lang w:val="en-US"/>
        </w:rPr>
      </w:pPr>
    </w:p>
    <w:p w14:paraId="01376216" w14:textId="77777777" w:rsidR="005C72B4" w:rsidRPr="00A17E3E" w:rsidRDefault="005C72B4" w:rsidP="00CE71F3">
      <w:pPr>
        <w:rPr>
          <w:lang w:val="en-US"/>
        </w:rPr>
      </w:pPr>
    </w:p>
    <w:sectPr w:rsidR="005C72B4" w:rsidRPr="00A17E3E"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A0B6" w14:textId="77777777" w:rsidR="0091485D" w:rsidRDefault="0091485D" w:rsidP="00650219">
      <w:r>
        <w:separator/>
      </w:r>
    </w:p>
  </w:endnote>
  <w:endnote w:type="continuationSeparator" w:id="0">
    <w:p w14:paraId="36DDDBA4" w14:textId="77777777" w:rsidR="0091485D" w:rsidRDefault="0091485D"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vPSHN-M">
    <w:altName w:val="Cambria"/>
    <w:panose1 w:val="00000000000000000000"/>
    <w:charset w:val="00"/>
    <w:family w:val="roman"/>
    <w:notTrueType/>
    <w:pitch w:val="default"/>
  </w:font>
  <w:font w:name="NotoSa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954B" w14:textId="77777777" w:rsidR="0091485D" w:rsidRDefault="0091485D" w:rsidP="00650219">
      <w:r>
        <w:separator/>
      </w:r>
    </w:p>
  </w:footnote>
  <w:footnote w:type="continuationSeparator" w:id="0">
    <w:p w14:paraId="187FB916" w14:textId="77777777" w:rsidR="0091485D" w:rsidRDefault="0091485D"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782838"/>
    <w:multiLevelType w:val="hybridMultilevel"/>
    <w:tmpl w:val="02FE050E"/>
    <w:lvl w:ilvl="0" w:tplc="6AD6335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3"/>
  </w:num>
  <w:num w:numId="21">
    <w:abstractNumId w:val="20"/>
  </w:num>
  <w:num w:numId="22">
    <w:abstractNumId w:val="11"/>
  </w:num>
  <w:num w:numId="23">
    <w:abstractNumId w:val="26"/>
  </w:num>
  <w:num w:numId="24">
    <w:abstractNumId w:val="15"/>
  </w:num>
  <w:num w:numId="25">
    <w:abstractNumId w:val="17"/>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F3"/>
    <w:rsid w:val="00002BB6"/>
    <w:rsid w:val="00075F2E"/>
    <w:rsid w:val="00077C9E"/>
    <w:rsid w:val="00096D7E"/>
    <w:rsid w:val="00124272"/>
    <w:rsid w:val="00187ACB"/>
    <w:rsid w:val="001A4EC3"/>
    <w:rsid w:val="001E0488"/>
    <w:rsid w:val="0028533C"/>
    <w:rsid w:val="002A6372"/>
    <w:rsid w:val="00400865"/>
    <w:rsid w:val="00405555"/>
    <w:rsid w:val="004323AE"/>
    <w:rsid w:val="004E108E"/>
    <w:rsid w:val="004E76C1"/>
    <w:rsid w:val="005C72B4"/>
    <w:rsid w:val="00631987"/>
    <w:rsid w:val="00645252"/>
    <w:rsid w:val="00650219"/>
    <w:rsid w:val="006A446B"/>
    <w:rsid w:val="006D3D74"/>
    <w:rsid w:val="006F3FB6"/>
    <w:rsid w:val="0083569A"/>
    <w:rsid w:val="0091485D"/>
    <w:rsid w:val="009E1644"/>
    <w:rsid w:val="00A0643A"/>
    <w:rsid w:val="00A173F2"/>
    <w:rsid w:val="00A17E3E"/>
    <w:rsid w:val="00A9204E"/>
    <w:rsid w:val="00AA0DBB"/>
    <w:rsid w:val="00AA605C"/>
    <w:rsid w:val="00AE52A8"/>
    <w:rsid w:val="00AF0164"/>
    <w:rsid w:val="00AF1BBC"/>
    <w:rsid w:val="00BA6EC4"/>
    <w:rsid w:val="00CE71F3"/>
    <w:rsid w:val="00D874D8"/>
    <w:rsid w:val="00E0713D"/>
    <w:rsid w:val="00E423E9"/>
    <w:rsid w:val="00E61EAF"/>
    <w:rsid w:val="00ED33C2"/>
    <w:rsid w:val="00EE7B02"/>
    <w:rsid w:val="00F61EAA"/>
    <w:rsid w:val="00F9279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F4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 w:type="character" w:customStyle="1" w:styleId="fontstyle01">
    <w:name w:val="fontstyle01"/>
    <w:basedOn w:val="Fuentedeprrafopredeter"/>
    <w:rsid w:val="00CE71F3"/>
    <w:rPr>
      <w:rFonts w:ascii="AdvPSHN-M" w:hAnsi="AdvPSHN-M" w:hint="default"/>
      <w:b w:val="0"/>
      <w:bCs w:val="0"/>
      <w:i w:val="0"/>
      <w:iCs w:val="0"/>
      <w:color w:val="065689"/>
      <w:sz w:val="20"/>
      <w:szCs w:val="20"/>
    </w:rPr>
  </w:style>
  <w:style w:type="character" w:customStyle="1" w:styleId="jpfdse">
    <w:name w:val="jpfdse"/>
    <w:basedOn w:val="Fuentedeprrafopredeter"/>
    <w:rsid w:val="00CE71F3"/>
  </w:style>
  <w:style w:type="character" w:customStyle="1" w:styleId="hgkelc">
    <w:name w:val="hgkelc"/>
    <w:basedOn w:val="Fuentedeprrafopredeter"/>
    <w:rsid w:val="00AE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64649">
      <w:bodyDiv w:val="1"/>
      <w:marLeft w:val="0"/>
      <w:marRight w:val="0"/>
      <w:marTop w:val="0"/>
      <w:marBottom w:val="0"/>
      <w:divBdr>
        <w:top w:val="none" w:sz="0" w:space="0" w:color="auto"/>
        <w:left w:val="none" w:sz="0" w:space="0" w:color="auto"/>
        <w:bottom w:val="none" w:sz="0" w:space="0" w:color="auto"/>
        <w:right w:val="none" w:sz="0" w:space="0" w:color="auto"/>
      </w:divBdr>
      <w:divsChild>
        <w:div w:id="582181222">
          <w:marLeft w:val="0"/>
          <w:marRight w:val="0"/>
          <w:marTop w:val="0"/>
          <w:marBottom w:val="0"/>
          <w:divBdr>
            <w:top w:val="none" w:sz="0" w:space="0" w:color="auto"/>
            <w:left w:val="none" w:sz="0" w:space="0" w:color="auto"/>
            <w:bottom w:val="none" w:sz="0" w:space="0" w:color="auto"/>
            <w:right w:val="none" w:sz="0" w:space="0" w:color="auto"/>
          </w:divBdr>
          <w:divsChild>
            <w:div w:id="1025013816">
              <w:marLeft w:val="0"/>
              <w:marRight w:val="0"/>
              <w:marTop w:val="180"/>
              <w:marBottom w:val="180"/>
              <w:divBdr>
                <w:top w:val="none" w:sz="0" w:space="0" w:color="auto"/>
                <w:left w:val="none" w:sz="0" w:space="0" w:color="auto"/>
                <w:bottom w:val="none" w:sz="0" w:space="0" w:color="auto"/>
                <w:right w:val="none" w:sz="0" w:space="0" w:color="auto"/>
              </w:divBdr>
            </w:div>
          </w:divsChild>
        </w:div>
        <w:div w:id="1578855447">
          <w:marLeft w:val="0"/>
          <w:marRight w:val="0"/>
          <w:marTop w:val="0"/>
          <w:marBottom w:val="0"/>
          <w:divBdr>
            <w:top w:val="none" w:sz="0" w:space="0" w:color="auto"/>
            <w:left w:val="none" w:sz="0" w:space="0" w:color="auto"/>
            <w:bottom w:val="none" w:sz="0" w:space="0" w:color="auto"/>
            <w:right w:val="none" w:sz="0" w:space="0" w:color="auto"/>
          </w:divBdr>
          <w:divsChild>
            <w:div w:id="164899118">
              <w:marLeft w:val="0"/>
              <w:marRight w:val="0"/>
              <w:marTop w:val="0"/>
              <w:marBottom w:val="0"/>
              <w:divBdr>
                <w:top w:val="none" w:sz="0" w:space="0" w:color="auto"/>
                <w:left w:val="none" w:sz="0" w:space="0" w:color="auto"/>
                <w:bottom w:val="none" w:sz="0" w:space="0" w:color="auto"/>
                <w:right w:val="none" w:sz="0" w:space="0" w:color="auto"/>
              </w:divBdr>
              <w:divsChild>
                <w:div w:id="1811747101">
                  <w:marLeft w:val="0"/>
                  <w:marRight w:val="0"/>
                  <w:marTop w:val="0"/>
                  <w:marBottom w:val="0"/>
                  <w:divBdr>
                    <w:top w:val="none" w:sz="0" w:space="0" w:color="auto"/>
                    <w:left w:val="none" w:sz="0" w:space="0" w:color="auto"/>
                    <w:bottom w:val="none" w:sz="0" w:space="0" w:color="auto"/>
                    <w:right w:val="none" w:sz="0" w:space="0" w:color="auto"/>
                  </w:divBdr>
                  <w:divsChild>
                    <w:div w:id="322395512">
                      <w:marLeft w:val="0"/>
                      <w:marRight w:val="0"/>
                      <w:marTop w:val="0"/>
                      <w:marBottom w:val="0"/>
                      <w:divBdr>
                        <w:top w:val="none" w:sz="0" w:space="0" w:color="auto"/>
                        <w:left w:val="none" w:sz="0" w:space="0" w:color="auto"/>
                        <w:bottom w:val="none" w:sz="0" w:space="0" w:color="auto"/>
                        <w:right w:val="none" w:sz="0" w:space="0" w:color="auto"/>
                      </w:divBdr>
                      <w:divsChild>
                        <w:div w:id="1201430138">
                          <w:marLeft w:val="0"/>
                          <w:marRight w:val="0"/>
                          <w:marTop w:val="0"/>
                          <w:marBottom w:val="0"/>
                          <w:divBdr>
                            <w:top w:val="none" w:sz="0" w:space="0" w:color="auto"/>
                            <w:left w:val="none" w:sz="0" w:space="0" w:color="auto"/>
                            <w:bottom w:val="none" w:sz="0" w:space="0" w:color="auto"/>
                            <w:right w:val="none" w:sz="0" w:space="0" w:color="auto"/>
                          </w:divBdr>
                          <w:divsChild>
                            <w:div w:id="1734040557">
                              <w:marLeft w:val="300"/>
                              <w:marRight w:val="0"/>
                              <w:marTop w:val="0"/>
                              <w:marBottom w:val="0"/>
                              <w:divBdr>
                                <w:top w:val="none" w:sz="0" w:space="0" w:color="auto"/>
                                <w:left w:val="none" w:sz="0" w:space="0" w:color="auto"/>
                                <w:bottom w:val="none" w:sz="0" w:space="0" w:color="auto"/>
                                <w:right w:val="none" w:sz="0" w:space="0" w:color="auto"/>
                              </w:divBdr>
                              <w:divsChild>
                                <w:div w:id="795872833">
                                  <w:marLeft w:val="0"/>
                                  <w:marRight w:val="0"/>
                                  <w:marTop w:val="0"/>
                                  <w:marBottom w:val="0"/>
                                  <w:divBdr>
                                    <w:top w:val="none" w:sz="0" w:space="0" w:color="auto"/>
                                    <w:left w:val="none" w:sz="0" w:space="0" w:color="auto"/>
                                    <w:bottom w:val="none" w:sz="0" w:space="0" w:color="auto"/>
                                    <w:right w:val="none" w:sz="0" w:space="0" w:color="auto"/>
                                  </w:divBdr>
                                  <w:divsChild>
                                    <w:div w:id="2122262222">
                                      <w:marLeft w:val="0"/>
                                      <w:marRight w:val="0"/>
                                      <w:marTop w:val="0"/>
                                      <w:marBottom w:val="0"/>
                                      <w:divBdr>
                                        <w:top w:val="none" w:sz="0" w:space="0" w:color="auto"/>
                                        <w:left w:val="none" w:sz="0" w:space="0" w:color="auto"/>
                                        <w:bottom w:val="none" w:sz="0" w:space="0" w:color="auto"/>
                                        <w:right w:val="none" w:sz="0" w:space="0" w:color="auto"/>
                                      </w:divBdr>
                                      <w:divsChild>
                                        <w:div w:id="196891313">
                                          <w:marLeft w:val="0"/>
                                          <w:marRight w:val="0"/>
                                          <w:marTop w:val="0"/>
                                          <w:marBottom w:val="0"/>
                                          <w:divBdr>
                                            <w:top w:val="none" w:sz="0" w:space="0" w:color="auto"/>
                                            <w:left w:val="none" w:sz="0" w:space="0" w:color="auto"/>
                                            <w:bottom w:val="none" w:sz="0" w:space="0" w:color="auto"/>
                                            <w:right w:val="none" w:sz="0" w:space="0" w:color="auto"/>
                                          </w:divBdr>
                                          <w:divsChild>
                                            <w:div w:id="1408072920">
                                              <w:marLeft w:val="0"/>
                                              <w:marRight w:val="0"/>
                                              <w:marTop w:val="0"/>
                                              <w:marBottom w:val="0"/>
                                              <w:divBdr>
                                                <w:top w:val="none" w:sz="0" w:space="0" w:color="auto"/>
                                                <w:left w:val="none" w:sz="0" w:space="0" w:color="auto"/>
                                                <w:bottom w:val="none" w:sz="0" w:space="0" w:color="auto"/>
                                                <w:right w:val="none" w:sz="0" w:space="0" w:color="auto"/>
                                              </w:divBdr>
                                              <w:divsChild>
                                                <w:div w:id="396905836">
                                                  <w:marLeft w:val="0"/>
                                                  <w:marRight w:val="0"/>
                                                  <w:marTop w:val="0"/>
                                                  <w:marBottom w:val="0"/>
                                                  <w:divBdr>
                                                    <w:top w:val="none" w:sz="0" w:space="0" w:color="auto"/>
                                                    <w:left w:val="none" w:sz="0" w:space="0" w:color="auto"/>
                                                    <w:bottom w:val="none" w:sz="0" w:space="0" w:color="auto"/>
                                                    <w:right w:val="none" w:sz="0" w:space="0" w:color="auto"/>
                                                  </w:divBdr>
                                                  <w:divsChild>
                                                    <w:div w:id="2132161957">
                                                      <w:marLeft w:val="240"/>
                                                      <w:marRight w:val="240"/>
                                                      <w:marTop w:val="0"/>
                                                      <w:marBottom w:val="0"/>
                                                      <w:divBdr>
                                                        <w:top w:val="none" w:sz="0" w:space="0" w:color="auto"/>
                                                        <w:left w:val="none" w:sz="0" w:space="0" w:color="auto"/>
                                                        <w:bottom w:val="none" w:sz="0" w:space="0" w:color="auto"/>
                                                        <w:right w:val="none" w:sz="0" w:space="0" w:color="auto"/>
                                                      </w:divBdr>
                                                      <w:divsChild>
                                                        <w:div w:id="1205291213">
                                                          <w:marLeft w:val="0"/>
                                                          <w:marRight w:val="0"/>
                                                          <w:marTop w:val="0"/>
                                                          <w:marBottom w:val="0"/>
                                                          <w:divBdr>
                                                            <w:top w:val="none" w:sz="0" w:space="0" w:color="auto"/>
                                                            <w:left w:val="none" w:sz="0" w:space="0" w:color="auto"/>
                                                            <w:bottom w:val="none" w:sz="0" w:space="0" w:color="auto"/>
                                                            <w:right w:val="none" w:sz="0" w:space="0" w:color="auto"/>
                                                          </w:divBdr>
                                                          <w:divsChild>
                                                            <w:div w:id="2034649428">
                                                              <w:marLeft w:val="0"/>
                                                              <w:marRight w:val="0"/>
                                                              <w:marTop w:val="0"/>
                                                              <w:marBottom w:val="0"/>
                                                              <w:divBdr>
                                                                <w:top w:val="none" w:sz="0" w:space="0" w:color="auto"/>
                                                                <w:left w:val="none" w:sz="0" w:space="0" w:color="auto"/>
                                                                <w:bottom w:val="none" w:sz="0" w:space="0" w:color="auto"/>
                                                                <w:right w:val="none" w:sz="0" w:space="0" w:color="auto"/>
                                                              </w:divBdr>
                                                              <w:divsChild>
                                                                <w:div w:id="10016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980018">
                      <w:marLeft w:val="0"/>
                      <w:marRight w:val="0"/>
                      <w:marTop w:val="0"/>
                      <w:marBottom w:val="0"/>
                      <w:divBdr>
                        <w:top w:val="none" w:sz="0" w:space="0" w:color="auto"/>
                        <w:left w:val="none" w:sz="0" w:space="0" w:color="auto"/>
                        <w:bottom w:val="none" w:sz="0" w:space="0" w:color="auto"/>
                        <w:right w:val="none" w:sz="0" w:space="0" w:color="auto"/>
                      </w:divBdr>
                      <w:divsChild>
                        <w:div w:id="1708065330">
                          <w:marLeft w:val="0"/>
                          <w:marRight w:val="0"/>
                          <w:marTop w:val="0"/>
                          <w:marBottom w:val="0"/>
                          <w:divBdr>
                            <w:top w:val="none" w:sz="0" w:space="0" w:color="auto"/>
                            <w:left w:val="none" w:sz="0" w:space="0" w:color="auto"/>
                            <w:bottom w:val="none" w:sz="0" w:space="0" w:color="auto"/>
                            <w:right w:val="none" w:sz="0" w:space="0" w:color="auto"/>
                          </w:divBdr>
                          <w:divsChild>
                            <w:div w:id="1784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7405">
      <w:bodyDiv w:val="1"/>
      <w:marLeft w:val="0"/>
      <w:marRight w:val="0"/>
      <w:marTop w:val="0"/>
      <w:marBottom w:val="0"/>
      <w:divBdr>
        <w:top w:val="none" w:sz="0" w:space="0" w:color="auto"/>
        <w:left w:val="none" w:sz="0" w:space="0" w:color="auto"/>
        <w:bottom w:val="none" w:sz="0" w:space="0" w:color="auto"/>
        <w:right w:val="none" w:sz="0" w:space="0" w:color="auto"/>
      </w:divBdr>
    </w:div>
    <w:div w:id="2093617754">
      <w:bodyDiv w:val="1"/>
      <w:marLeft w:val="0"/>
      <w:marRight w:val="0"/>
      <w:marTop w:val="0"/>
      <w:marBottom w:val="0"/>
      <w:divBdr>
        <w:top w:val="none" w:sz="0" w:space="0" w:color="auto"/>
        <w:left w:val="none" w:sz="0" w:space="0" w:color="auto"/>
        <w:bottom w:val="none" w:sz="0" w:space="0" w:color="auto"/>
        <w:right w:val="none" w:sz="0" w:space="0" w:color="auto"/>
      </w:divBdr>
      <w:divsChild>
        <w:div w:id="819348246">
          <w:marLeft w:val="0"/>
          <w:marRight w:val="0"/>
          <w:marTop w:val="0"/>
          <w:marBottom w:val="0"/>
          <w:divBdr>
            <w:top w:val="none" w:sz="0" w:space="0" w:color="auto"/>
            <w:left w:val="none" w:sz="0" w:space="0" w:color="auto"/>
            <w:bottom w:val="none" w:sz="0" w:space="0" w:color="auto"/>
            <w:right w:val="none" w:sz="0" w:space="0" w:color="auto"/>
          </w:divBdr>
          <w:divsChild>
            <w:div w:id="241571693">
              <w:marLeft w:val="0"/>
              <w:marRight w:val="0"/>
              <w:marTop w:val="180"/>
              <w:marBottom w:val="180"/>
              <w:divBdr>
                <w:top w:val="none" w:sz="0" w:space="0" w:color="auto"/>
                <w:left w:val="none" w:sz="0" w:space="0" w:color="auto"/>
                <w:bottom w:val="none" w:sz="0" w:space="0" w:color="auto"/>
                <w:right w:val="none" w:sz="0" w:space="0" w:color="auto"/>
              </w:divBdr>
            </w:div>
          </w:divsChild>
        </w:div>
        <w:div w:id="500316647">
          <w:marLeft w:val="0"/>
          <w:marRight w:val="0"/>
          <w:marTop w:val="0"/>
          <w:marBottom w:val="0"/>
          <w:divBdr>
            <w:top w:val="none" w:sz="0" w:space="0" w:color="auto"/>
            <w:left w:val="none" w:sz="0" w:space="0" w:color="auto"/>
            <w:bottom w:val="none" w:sz="0" w:space="0" w:color="auto"/>
            <w:right w:val="none" w:sz="0" w:space="0" w:color="auto"/>
          </w:divBdr>
          <w:divsChild>
            <w:div w:id="543179077">
              <w:marLeft w:val="0"/>
              <w:marRight w:val="0"/>
              <w:marTop w:val="0"/>
              <w:marBottom w:val="0"/>
              <w:divBdr>
                <w:top w:val="none" w:sz="0" w:space="0" w:color="auto"/>
                <w:left w:val="none" w:sz="0" w:space="0" w:color="auto"/>
                <w:bottom w:val="none" w:sz="0" w:space="0" w:color="auto"/>
                <w:right w:val="none" w:sz="0" w:space="0" w:color="auto"/>
              </w:divBdr>
              <w:divsChild>
                <w:div w:id="973873212">
                  <w:marLeft w:val="0"/>
                  <w:marRight w:val="0"/>
                  <w:marTop w:val="0"/>
                  <w:marBottom w:val="0"/>
                  <w:divBdr>
                    <w:top w:val="none" w:sz="0" w:space="0" w:color="auto"/>
                    <w:left w:val="none" w:sz="0" w:space="0" w:color="auto"/>
                    <w:bottom w:val="none" w:sz="0" w:space="0" w:color="auto"/>
                    <w:right w:val="none" w:sz="0" w:space="0" w:color="auto"/>
                  </w:divBdr>
                  <w:divsChild>
                    <w:div w:id="176769831">
                      <w:marLeft w:val="0"/>
                      <w:marRight w:val="0"/>
                      <w:marTop w:val="0"/>
                      <w:marBottom w:val="0"/>
                      <w:divBdr>
                        <w:top w:val="none" w:sz="0" w:space="0" w:color="auto"/>
                        <w:left w:val="none" w:sz="0" w:space="0" w:color="auto"/>
                        <w:bottom w:val="none" w:sz="0" w:space="0" w:color="auto"/>
                        <w:right w:val="none" w:sz="0" w:space="0" w:color="auto"/>
                      </w:divBdr>
                      <w:divsChild>
                        <w:div w:id="149291515">
                          <w:marLeft w:val="0"/>
                          <w:marRight w:val="0"/>
                          <w:marTop w:val="0"/>
                          <w:marBottom w:val="0"/>
                          <w:divBdr>
                            <w:top w:val="none" w:sz="0" w:space="0" w:color="auto"/>
                            <w:left w:val="none" w:sz="0" w:space="0" w:color="auto"/>
                            <w:bottom w:val="none" w:sz="0" w:space="0" w:color="auto"/>
                            <w:right w:val="none" w:sz="0" w:space="0" w:color="auto"/>
                          </w:divBdr>
                          <w:divsChild>
                            <w:div w:id="1199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kiwand.com/es/Dientes" TargetMode="External"/><Relationship Id="rId18" Type="http://schemas.openxmlformats.org/officeDocument/2006/relationships/hyperlink" Target="https://www.ncbi.nlm.nih.gov/medgen/474091" TargetMode="External"/><Relationship Id="rId3" Type="http://schemas.openxmlformats.org/officeDocument/2006/relationships/numbering" Target="numbering.xml"/><Relationship Id="rId21" Type="http://schemas.openxmlformats.org/officeDocument/2006/relationships/hyperlink" Target="https://www.cancer.net/cancer-types/breast-cancer/stages" TargetMode="External"/><Relationship Id="rId7" Type="http://schemas.openxmlformats.org/officeDocument/2006/relationships/footnotes" Target="footnotes.xml"/><Relationship Id="rId12" Type="http://schemas.openxmlformats.org/officeDocument/2006/relationships/hyperlink" Target="https://www.wikiwand.com/es/Mama" TargetMode="External"/><Relationship Id="rId17" Type="http://schemas.openxmlformats.org/officeDocument/2006/relationships/hyperlink" Target="https://www.cancer.gov/about-cancer/diagnosis-staging/staging" TargetMode="External"/><Relationship Id="rId2" Type="http://schemas.openxmlformats.org/officeDocument/2006/relationships/customXml" Target="../customXml/item2.xml"/><Relationship Id="rId16" Type="http://schemas.openxmlformats.org/officeDocument/2006/relationships/hyperlink" Target="https://www.facs.org/quality-programs/cancer-programs/american-joint-committee-on-cancer/cancer-staging-systems/" TargetMode="External"/><Relationship Id="rId20" Type="http://schemas.openxmlformats.org/officeDocument/2006/relationships/hyperlink" Target="https://www.ncbi.nlm.nih.gov/medgen/47407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kiwand.com/es/Coraz%C3%B3n" TargetMode="External"/><Relationship Id="rId5" Type="http://schemas.openxmlformats.org/officeDocument/2006/relationships/settings" Target="settings.xml"/><Relationship Id="rId15" Type="http://schemas.openxmlformats.org/officeDocument/2006/relationships/hyperlink" Target="https://www.mypathologyreport.ca/es/definici%C3%B3n-nuclear/"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cancer.org/cancer/breast-cancer/understanding-a-breast-cancer-diagnosis/stages-of-breast-cancer.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wikiwand.com/es/Deleci%C3%B3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l\AppData\Local\Microsoft\Office\16.0\DTS\es-ES%7b0F0229A7-E250-4CE6-848F-9F5E76C67ED8%7d\%7bBFBADCDD-0B62-47D8-879B-7714B52A00F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{BFBADCDD-0B62-47D8-879B-7714B52A00F5}tf02786999_win32</Template>
  <TotalTime>0</TotalTime>
  <Pages>2</Pages>
  <Words>966</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2023-01-25T22:13:00Z</dcterms:created>
  <dcterms:modified xsi:type="dcterms:W3CDTF">2023-03-06T03:32:00Z</dcterms:modified>
</cp:coreProperties>
</file>