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jc w:val="center"/>
      </w:pPr>
      <w:r>
        <w:drawing>
          <wp:inline xmlns:a="http://schemas.openxmlformats.org/drawingml/2006/main" xmlns:pic="http://schemas.openxmlformats.org/drawingml/2006/picture">
            <wp:extent cx="1325880" cy="795528"/>
            <wp:docPr id="1" name="Picture 1" title="Logo de la Ligue Nigérienne des Droits des Femmes" descr="Symbole orange de la Ligue Nigérienne des Droits des Femmes"/>
            <wp:cNvGraphicFramePr>
              <a:graphicFrameLocks noChangeAspect="1"/>
            </wp:cNvGraphicFramePr>
            <a:graphic>
              <a:graphicData uri="http://schemas.openxmlformats.org/drawingml/2006/picture">
                <pic:pic>
                  <pic:nvPicPr>
                    <pic:cNvPr id="0" name="Ligue.png"/>
                    <pic:cNvPicPr/>
                  </pic:nvPicPr>
                  <pic:blipFill>
                    <a:blip r:embed="rId11"/>
                    <a:stretch>
                      <a:fillRect/>
                    </a:stretch>
                  </pic:blipFill>
                  <pic:spPr>
                    <a:xfrm>
                      <a:off x="0" y="0"/>
                      <a:ext cx="1325880" cy="795528"/>
                    </a:xfrm>
                    <a:prstGeom prst="rect"/>
                  </pic:spPr>
                </pic:pic>
              </a:graphicData>
            </a:graphic>
          </wp:inline>
        </w:drawing>
      </w:r>
    </w:p>
    <w:p>
      <w:pPr>
        <w:spacing w:before="0" w:after="120"/>
        <w:jc w:val="center"/>
      </w:pPr>
      <w:r>
        <w:rPr>
          <w:rFonts w:ascii="Calibri" w:hAnsi="Calibri"/>
          <w:b/>
          <w:color w:val="EB5F2A"/>
          <w:sz w:val="18"/>
        </w:rPr>
        <w:t>LIGUE NIGÉRIENNE DES DROITS DES FEMMES</w:t>
      </w:r>
    </w:p>
    <w:p>
      <w:pPr>
        <w:pStyle w:val="Title"/>
      </w:pPr>
      <w:r>
        <w:t>ALERTE VIOLENCE</w:t>
      </w:r>
    </w:p>
    <w:p>
      <w:pPr>
        <w:pStyle w:val="Subtitle"/>
      </w:pPr>
      <w:r>
        <w:t>Dossier de présentation et de partenariat</w:t>
      </w:r>
    </w:p>
    <w:p>
      <w:pPr>
        <w:spacing w:after="480"/>
        <w:jc w:val="center"/>
      </w:pPr>
      <w:r>
        <w:rPr>
          <w:rFonts w:ascii="Calibri" w:hAnsi="Calibri"/>
          <w:b/>
          <w:color w:val="0F172A"/>
          <w:sz w:val="26"/>
        </w:rPr>
        <w:t>Plateforme numérique d’autoévaluation, d’orientation et de mesure pour mieux prévenir les violences et faciliter l’accès à l’aide</w:t>
      </w:r>
    </w:p>
    <w:p>
      <w:pPr>
        <w:spacing w:before="80" w:after="200" w:line="288" w:lineRule="auto"/>
        <w:ind w:left="144" w:right="144"/>
        <w:shd w:fill="FFF3ED"/>
        <w:pBdr>
          <w:left w:val="single" w:sz="20" w:space="10" w:color="EB5F2A"/>
        </w:pBdr>
      </w:pPr>
      <w:r>
        <w:rPr>
          <w:rFonts w:ascii="Calibri" w:hAnsi="Calibri"/>
          <w:b/>
          <w:color w:val="0F172A"/>
          <w:sz w:val="22"/>
        </w:rPr>
        <w:t xml:space="preserve">Vision: </w:t>
      </w:r>
      <w:r>
        <w:rPr>
          <w:rFonts w:ascii="Calibri" w:hAnsi="Calibri"/>
          <w:color w:val="0F172A"/>
          <w:sz w:val="22"/>
        </w:rPr>
        <w:t>Faire du numérique une porte d’entrée sûre entre le doute, la compréhension et l’accès à un accompagnement adapté.</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0F172A"/>
            <w:tcMar>
              <w:top w:w="80" w:type="dxa"/>
              <w:start w:w="120" w:type="dxa"/>
              <w:bottom w:w="80" w:type="dxa"/>
              <w:end w:w="120" w:type="dxa"/>
            </w:tcMar>
            <w:vAlign w:val="center"/>
          </w:tcPr>
          <w:p>
            <w:pPr>
              <w:spacing w:after="0"/>
            </w:pPr>
            <w:r>
              <w:rPr>
                <w:rFonts w:ascii="Calibri" w:hAnsi="Calibri"/>
                <w:b/>
                <w:color w:val="FFFFFF"/>
                <w:sz w:val="19"/>
              </w:rPr>
              <w:t>Repère</w:t>
            </w:r>
          </w:p>
        </w:tc>
        <w:tc>
          <w:tcPr>
            <w:tcW w:type="dxa" w:w="7416"/>
            <w:shd w:fill="0F172A"/>
            <w:tcMar>
              <w:top w:w="80" w:type="dxa"/>
              <w:start w:w="120" w:type="dxa"/>
              <w:bottom w:w="80" w:type="dxa"/>
              <w:end w:w="120" w:type="dxa"/>
            </w:tcMar>
            <w:vAlign w:val="center"/>
          </w:tcPr>
          <w:p>
            <w:pPr>
              <w:spacing w:after="0"/>
            </w:pPr>
            <w:r>
              <w:rPr>
                <w:rFonts w:ascii="Calibri" w:hAnsi="Calibri"/>
                <w:b/>
                <w:color w:val="FFFFFF"/>
                <w:sz w:val="19"/>
              </w:rPr>
              <w:t>Information</w:t>
            </w:r>
          </w:p>
        </w:tc>
      </w:tr>
      <w:tr>
        <w:tc>
          <w:tcPr>
            <w:tcW w:type="dxa" w:w="1944"/>
            <w:shd w:fill="0F172A"/>
            <w:tcMar>
              <w:top w:w="80" w:type="dxa"/>
              <w:start w:w="120" w:type="dxa"/>
              <w:bottom w:w="80" w:type="dxa"/>
              <w:end w:w="120" w:type="dxa"/>
            </w:tcMar>
            <w:vAlign w:val="center"/>
          </w:tcPr>
          <w:p>
            <w:pPr>
              <w:spacing w:after="0"/>
            </w:pPr>
            <w:r>
              <w:rPr>
                <w:rFonts w:ascii="Calibri" w:hAnsi="Calibri"/>
                <w:b/>
                <w:color w:val="FFFFFF"/>
                <w:sz w:val="19"/>
              </w:rPr>
              <w:t>Organisation</w:t>
            </w:r>
          </w:p>
        </w:tc>
        <w:tc>
          <w:tcPr>
            <w:tcW w:type="dxa" w:w="7416"/>
            <w:shd w:fill="F4F6F9"/>
            <w:tcMar>
              <w:top w:w="80" w:type="dxa"/>
              <w:start w:w="120" w:type="dxa"/>
              <w:bottom w:w="80" w:type="dxa"/>
              <w:end w:w="120" w:type="dxa"/>
            </w:tcMar>
            <w:vAlign w:val="center"/>
          </w:tcPr>
          <w:p>
            <w:pPr>
              <w:spacing w:after="0"/>
            </w:pPr>
            <w:r>
              <w:rPr>
                <w:rFonts w:ascii="Calibri" w:hAnsi="Calibri"/>
                <w:color w:val="0F172A"/>
                <w:sz w:val="19"/>
              </w:rPr>
              <w:t>Ligue Nigérienne des Droits des Femmes (LNDF)</w:t>
            </w:r>
          </w:p>
        </w:tc>
      </w:tr>
      <w:tr>
        <w:tc>
          <w:tcPr>
            <w:tcW w:type="dxa" w:w="1944"/>
            <w:shd w:fill="0F172A"/>
            <w:tcMar>
              <w:top w:w="80" w:type="dxa"/>
              <w:start w:w="120" w:type="dxa"/>
              <w:bottom w:w="80" w:type="dxa"/>
              <w:end w:w="120" w:type="dxa"/>
            </w:tcMar>
            <w:vAlign w:val="center"/>
          </w:tcPr>
          <w:p>
            <w:pPr>
              <w:spacing w:after="0"/>
            </w:pPr>
            <w:r>
              <w:rPr>
                <w:rFonts w:ascii="Calibri" w:hAnsi="Calibri"/>
                <w:b/>
                <w:color w:val="FFFFFF"/>
                <w:sz w:val="19"/>
              </w:rPr>
              <w:t>Document</w:t>
            </w:r>
          </w:p>
        </w:tc>
        <w:tc>
          <w:tcPr>
            <w:tcW w:type="dxa" w:w="7416"/>
            <w:shd w:fill="F4F6F9"/>
            <w:tcMar>
              <w:top w:w="80" w:type="dxa"/>
              <w:start w:w="120" w:type="dxa"/>
              <w:bottom w:w="80" w:type="dxa"/>
              <w:end w:w="120" w:type="dxa"/>
            </w:tcMar>
            <w:vAlign w:val="center"/>
          </w:tcPr>
          <w:p>
            <w:pPr>
              <w:spacing w:after="0"/>
            </w:pPr>
            <w:r>
              <w:rPr>
                <w:rFonts w:ascii="Calibri" w:hAnsi="Calibri"/>
                <w:color w:val="0F172A"/>
                <w:sz w:val="19"/>
              </w:rPr>
              <w:t>Argumentaire partenaire et trame PowerPoint de 21 diapositives</w:t>
            </w:r>
          </w:p>
        </w:tc>
      </w:tr>
      <w:tr>
        <w:tc>
          <w:tcPr>
            <w:tcW w:type="dxa" w:w="1944"/>
            <w:shd w:fill="0F172A"/>
            <w:tcMar>
              <w:top w:w="80" w:type="dxa"/>
              <w:start w:w="120" w:type="dxa"/>
              <w:bottom w:w="80" w:type="dxa"/>
              <w:end w:w="120" w:type="dxa"/>
            </w:tcMar>
            <w:vAlign w:val="center"/>
          </w:tcPr>
          <w:p>
            <w:pPr>
              <w:spacing w:after="0"/>
            </w:pPr>
            <w:r>
              <w:rPr>
                <w:rFonts w:ascii="Calibri" w:hAnsi="Calibri"/>
                <w:b/>
                <w:color w:val="FFFFFF"/>
                <w:sz w:val="19"/>
              </w:rPr>
              <w:t>Version</w:t>
            </w:r>
          </w:p>
        </w:tc>
        <w:tc>
          <w:tcPr>
            <w:tcW w:type="dxa" w:w="7416"/>
            <w:shd w:fill="F4F6F9"/>
            <w:tcMar>
              <w:top w:w="80" w:type="dxa"/>
              <w:start w:w="120" w:type="dxa"/>
              <w:bottom w:w="80" w:type="dxa"/>
              <w:end w:w="120" w:type="dxa"/>
            </w:tcMar>
            <w:vAlign w:val="center"/>
          </w:tcPr>
          <w:p>
            <w:pPr>
              <w:spacing w:after="0"/>
            </w:pPr>
            <w:r>
              <w:rPr>
                <w:rFonts w:ascii="Calibri" w:hAnsi="Calibri"/>
                <w:color w:val="0F172A"/>
                <w:sz w:val="19"/>
              </w:rPr>
              <w:t>Juillet 2026 | Niamey, Niger</w:t>
            </w:r>
          </w:p>
        </w:tc>
      </w:tr>
    </w:tbl>
    <w:p>
      <w:pPr>
        <w:spacing w:before="280"/>
        <w:jc w:val="center"/>
      </w:pPr>
      <w:r>
        <w:rPr>
          <w:rFonts w:ascii="Calibri" w:hAnsi="Calibri"/>
          <w:i/>
          <w:color w:val="64748B"/>
          <w:sz w:val="18"/>
        </w:rPr>
        <w:t>Document conçu pour être présenté tel quel ou converti en PowerPoint.</w:t>
      </w:r>
    </w:p>
    <w:p>
      <w:r>
        <w:br w:type="page"/>
      </w:r>
    </w:p>
    <w:p>
      <w:pPr>
        <w:spacing w:before="0" w:after="120"/>
        <w:jc w:val="left"/>
      </w:pPr>
      <w:r>
        <w:rPr>
          <w:rFonts w:ascii="Calibri" w:hAnsi="Calibri"/>
          <w:b/>
          <w:color w:val="EB5F2A"/>
          <w:sz w:val="18"/>
        </w:rPr>
        <w:t>SYNTHÈSE EXÉCUTIVE</w:t>
      </w:r>
    </w:p>
    <w:p>
      <w:pPr>
        <w:pStyle w:val="Heading1"/>
      </w:pPr>
      <w:r>
        <w:t>Une plateforme utile, mesurable et partenariale</w:t>
      </w:r>
    </w:p>
    <w:p>
      <w:r>
        <w:rPr>
          <w:b/>
        </w:rPr>
        <w:t xml:space="preserve">ALERTE VIOLENCE </w:t>
      </w:r>
      <w:r>
        <w:t>est une plateforme développée par la Ligue Nigérienne des Droits des Femmes pour aider une personne à reconnaître des signaux de violence, évaluer sa situation ou celle d’un proche, comprendre un niveau de vigilance et accéder à des ressources adaptées à son pays.</w:t>
      </w:r>
    </w:p>
    <w:p>
      <w:pPr>
        <w:spacing w:before="80" w:after="200" w:line="288" w:lineRule="auto"/>
        <w:ind w:left="144" w:right="144"/>
        <w:shd w:fill="EFF6FF"/>
        <w:pBdr>
          <w:left w:val="single" w:sz="20" w:space="10" w:color="2E74B5"/>
        </w:pBdr>
      </w:pPr>
      <w:r>
        <w:rPr>
          <w:rFonts w:ascii="Calibri" w:hAnsi="Calibri"/>
          <w:b/>
          <w:color w:val="0F172A"/>
          <w:sz w:val="22"/>
        </w:rPr>
        <w:t xml:space="preserve">Proposition de valeur: </w:t>
      </w:r>
      <w:r>
        <w:rPr>
          <w:rFonts w:ascii="Calibri" w:hAnsi="Calibri"/>
          <w:color w:val="0F172A"/>
          <w:sz w:val="22"/>
        </w:rPr>
        <w:t>Un parcours accessible sans compte, relié à un répertoire d’aide et soutenu par une administration modulaire ainsi que des indicateurs de suivi.</w:t>
      </w:r>
    </w:p>
    <w:p>
      <w:pPr>
        <w:pStyle w:val="Heading2"/>
      </w:pPr>
      <w:r>
        <w:t>Pourquoi maintenant?</w:t>
      </w:r>
    </w:p>
    <w:p>
      <w:pPr>
        <w:pStyle w:val="ListBullet"/>
      </w:pPr>
      <w:r>
        <w:t>L’OMS estime que 31,6 % des femmes et filles dans le monde ont subi au cours de leur vie des violences physiques et/ou sexuelles.</w:t>
      </w:r>
    </w:p>
    <w:p>
      <w:pPr>
        <w:pStyle w:val="ListBullet"/>
      </w:pPr>
      <w:r>
        <w:t>ONU Femmes rapporte qu’au Niger 12,9 % des femmes de 15 à 49 ans déclaraient en 2018 des violences physiques et/ou sexuelles d’un partenaire durant les douze mois précédents.</w:t>
      </w:r>
    </w:p>
    <w:p>
      <w:pPr>
        <w:pStyle w:val="ListBullet"/>
      </w:pPr>
      <w:r>
        <w:t>Les personnes concernées ont besoin de repères simples, discrets et disponibles avant même de pouvoir ou vouloir contacter un service.</w:t>
      </w:r>
    </w:p>
    <w:p>
      <w:pPr>
        <w:pStyle w:val="Heading2"/>
      </w:pPr>
      <w:r>
        <w:t>Ce qui est déjà opérationnel</w:t>
      </w:r>
    </w:p>
    <w:p>
      <w:pPr>
        <w:pStyle w:val="ListBullet"/>
      </w:pPr>
      <w:r>
        <w:t>Diagnostic configurable: 38 questions de référence, 6 catégories, mode personnel ou proche et reprise de progression.</w:t>
      </w:r>
    </w:p>
    <w:p>
      <w:pPr>
        <w:pStyle w:val="ListBullet"/>
      </w:pPr>
      <w:r>
        <w:t>Résultats par niveau et catégorie, ressources pour 8 pays, partage HD et tableau de bord facultatif.</w:t>
      </w:r>
    </w:p>
    <w:p>
      <w:pPr>
        <w:pStyle w:val="ListBullet"/>
      </w:pPr>
      <w:r>
        <w:t>Console modulaire avec statistiques, logs, campagnes UTM et notifications.</w:t>
      </w:r>
    </w:p>
    <w:p>
      <w:pPr>
        <w:pStyle w:val="Heading2"/>
      </w:pPr>
      <w:r>
        <w:t>La demande aux partenaires</w:t>
      </w:r>
    </w:p>
    <w:p>
      <w:r>
        <w:t>Co-construire un pilote de six mois pour valider les contenus, sécuriser les données, vérifier l’orientation et mesurer les résultats.</w:t>
      </w:r>
    </w:p>
    <w:tbl>
      <w:tblPr>
        <w:tblStyle w:val="TableGrid"/>
        <w:tblW w:type="dxa" w:w="9360"/>
        <w:jc w:val="left"/>
        <w:tblLayout w:type="fixed"/>
        <w:tblLook w:firstColumn="1" w:firstRow="1" w:lastColumn="0" w:lastRow="0" w:noHBand="0" w:noVBand="1" w:val="04A0"/>
        <w:tblInd w:w="120" w:type="dxa"/>
      </w:tblPr>
      <w:tblGrid>
        <w:gridCol w:w="1656"/>
        <w:gridCol w:w="1872"/>
        <w:gridCol w:w="5832"/>
      </w:tblGrid>
      <w:tr>
        <w:trPr>
          <w:tblHeader w:val="true"/>
        </w:trPr>
        <w:tc>
          <w:tcPr>
            <w:tcW w:type="dxa" w:w="1656"/>
            <w:shd w:fill="0F172A"/>
            <w:tcMar>
              <w:top w:w="80" w:type="dxa"/>
              <w:start w:w="120" w:type="dxa"/>
              <w:bottom w:w="80" w:type="dxa"/>
              <w:end w:w="120" w:type="dxa"/>
            </w:tcMar>
            <w:vAlign w:val="center"/>
          </w:tcPr>
          <w:p>
            <w:pPr>
              <w:spacing w:after="0"/>
              <w:jc w:val="left"/>
            </w:pPr>
            <w:r>
              <w:rPr>
                <w:rFonts w:ascii="Calibri" w:hAnsi="Calibri"/>
                <w:b/>
                <w:color w:val="FFFFFF"/>
                <w:sz w:val="19"/>
              </w:rPr>
              <w:t>Repère</w:t>
            </w:r>
          </w:p>
        </w:tc>
        <w:tc>
          <w:tcPr>
            <w:tcW w:type="dxa" w:w="1872"/>
            <w:shd w:fill="0F172A"/>
            <w:tcMar>
              <w:top w:w="80" w:type="dxa"/>
              <w:start w:w="120" w:type="dxa"/>
              <w:bottom w:w="80" w:type="dxa"/>
              <w:end w:w="120" w:type="dxa"/>
            </w:tcMar>
            <w:vAlign w:val="center"/>
          </w:tcPr>
          <w:p>
            <w:pPr>
              <w:spacing w:after="0"/>
              <w:jc w:val="left"/>
            </w:pPr>
            <w:r>
              <w:rPr>
                <w:rFonts w:ascii="Calibri" w:hAnsi="Calibri"/>
                <w:b/>
                <w:color w:val="FFFFFF"/>
                <w:sz w:val="19"/>
              </w:rPr>
              <w:t>Valeur</w:t>
            </w:r>
          </w:p>
        </w:tc>
        <w:tc>
          <w:tcPr>
            <w:tcW w:type="dxa" w:w="5832"/>
            <w:shd w:fill="0F172A"/>
            <w:tcMar>
              <w:top w:w="80" w:type="dxa"/>
              <w:start w:w="120" w:type="dxa"/>
              <w:bottom w:w="80" w:type="dxa"/>
              <w:end w:w="120" w:type="dxa"/>
            </w:tcMar>
            <w:vAlign w:val="center"/>
          </w:tcPr>
          <w:p>
            <w:pPr>
              <w:spacing w:after="0"/>
              <w:jc w:val="left"/>
            </w:pPr>
            <w:r>
              <w:rPr>
                <w:rFonts w:ascii="Calibri" w:hAnsi="Calibri"/>
                <w:b/>
                <w:color w:val="FFFFFF"/>
                <w:sz w:val="19"/>
              </w:rPr>
              <w:t>Ce que cela signifie</w:t>
            </w:r>
          </w:p>
        </w:tc>
      </w:tr>
      <w:tr>
        <w:tc>
          <w:tcPr>
            <w:tcW w:type="dxa" w:w="1656"/>
            <w:tcMar>
              <w:top w:w="80" w:type="dxa"/>
              <w:start w:w="120" w:type="dxa"/>
              <w:bottom w:w="80" w:type="dxa"/>
              <w:end w:w="120" w:type="dxa"/>
            </w:tcMar>
            <w:vAlign w:val="center"/>
          </w:tcPr>
          <w:p>
            <w:pPr>
              <w:spacing w:after="0" w:line="264" w:lineRule="auto"/>
              <w:jc w:val="left"/>
            </w:pPr>
            <w:r>
              <w:rPr>
                <w:rFonts w:ascii="Calibri" w:hAnsi="Calibri"/>
                <w:b/>
                <w:color w:val="0F172A"/>
                <w:sz w:val="19"/>
              </w:rPr>
              <w:t>Contexte mondial</w:t>
            </w:r>
          </w:p>
        </w:tc>
        <w:tc>
          <w:tcPr>
            <w:tcW w:type="dxa" w:w="1872"/>
            <w:tcMar>
              <w:top w:w="80" w:type="dxa"/>
              <w:start w:w="120" w:type="dxa"/>
              <w:bottom w:w="80" w:type="dxa"/>
              <w:end w:w="120" w:type="dxa"/>
            </w:tcMar>
            <w:vAlign w:val="center"/>
          </w:tcPr>
          <w:p>
            <w:pPr>
              <w:spacing w:after="0" w:line="264" w:lineRule="auto"/>
              <w:jc w:val="left"/>
            </w:pPr>
            <w:r>
              <w:rPr>
                <w:rFonts w:ascii="Calibri" w:hAnsi="Calibri"/>
                <w:b w:val="0"/>
                <w:color w:val="0F172A"/>
                <w:sz w:val="19"/>
              </w:rPr>
              <w:t>31,6 %</w:t>
            </w:r>
          </w:p>
        </w:tc>
        <w:tc>
          <w:tcPr>
            <w:tcW w:type="dxa" w:w="5832"/>
            <w:tcMar>
              <w:top w:w="80" w:type="dxa"/>
              <w:start w:w="120" w:type="dxa"/>
              <w:bottom w:w="80" w:type="dxa"/>
              <w:end w:w="120" w:type="dxa"/>
            </w:tcMar>
            <w:vAlign w:val="center"/>
          </w:tcPr>
          <w:p>
            <w:pPr>
              <w:spacing w:after="0" w:line="264" w:lineRule="auto"/>
              <w:jc w:val="left"/>
            </w:pPr>
            <w:r>
              <w:rPr>
                <w:rFonts w:ascii="Calibri" w:hAnsi="Calibri"/>
                <w:b w:val="0"/>
                <w:color w:val="0F172A"/>
                <w:sz w:val="19"/>
              </w:rPr>
              <w:t>Exposition au cours de la vie, estimation OMS 2023</w:t>
            </w:r>
          </w:p>
        </w:tc>
      </w:tr>
      <w:tr>
        <w:tc>
          <w:tcPr>
            <w:tcW w:type="dxa" w:w="1656"/>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Contexte Niger</w:t>
            </w:r>
          </w:p>
        </w:tc>
        <w:tc>
          <w:tcPr>
            <w:tcW w:type="dxa" w:w="187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12,9 %</w:t>
            </w:r>
          </w:p>
        </w:tc>
        <w:tc>
          <w:tcPr>
            <w:tcW w:type="dxa" w:w="583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Violence d’un partenaire au cours des 12 derniers mois, donnée 2018</w:t>
            </w:r>
          </w:p>
        </w:tc>
      </w:tr>
      <w:tr>
        <w:tc>
          <w:tcPr>
            <w:tcW w:type="dxa" w:w="1656"/>
            <w:tcMar>
              <w:top w:w="80" w:type="dxa"/>
              <w:start w:w="120" w:type="dxa"/>
              <w:bottom w:w="80" w:type="dxa"/>
              <w:end w:w="120" w:type="dxa"/>
            </w:tcMar>
            <w:vAlign w:val="center"/>
          </w:tcPr>
          <w:p>
            <w:pPr>
              <w:spacing w:after="0" w:line="264" w:lineRule="auto"/>
              <w:jc w:val="left"/>
            </w:pPr>
            <w:r>
              <w:rPr>
                <w:rFonts w:ascii="Calibri" w:hAnsi="Calibri"/>
                <w:b/>
                <w:color w:val="0F172A"/>
                <w:sz w:val="19"/>
              </w:rPr>
              <w:t>Produit</w:t>
            </w:r>
          </w:p>
        </w:tc>
        <w:tc>
          <w:tcPr>
            <w:tcW w:type="dxa" w:w="1872"/>
            <w:tcMar>
              <w:top w:w="80" w:type="dxa"/>
              <w:start w:w="120" w:type="dxa"/>
              <w:bottom w:w="80" w:type="dxa"/>
              <w:end w:w="120" w:type="dxa"/>
            </w:tcMar>
            <w:vAlign w:val="center"/>
          </w:tcPr>
          <w:p>
            <w:pPr>
              <w:spacing w:after="0" w:line="264" w:lineRule="auto"/>
              <w:jc w:val="left"/>
            </w:pPr>
            <w:r>
              <w:rPr>
                <w:rFonts w:ascii="Calibri" w:hAnsi="Calibri"/>
                <w:b w:val="0"/>
                <w:color w:val="0F172A"/>
                <w:sz w:val="19"/>
              </w:rPr>
              <w:t>38 / 6 / 8</w:t>
            </w:r>
          </w:p>
        </w:tc>
        <w:tc>
          <w:tcPr>
            <w:tcW w:type="dxa" w:w="5832"/>
            <w:tcMar>
              <w:top w:w="80" w:type="dxa"/>
              <w:start w:w="120" w:type="dxa"/>
              <w:bottom w:w="80" w:type="dxa"/>
              <w:end w:w="120" w:type="dxa"/>
            </w:tcMar>
            <w:vAlign w:val="center"/>
          </w:tcPr>
          <w:p>
            <w:pPr>
              <w:spacing w:after="0" w:line="264" w:lineRule="auto"/>
              <w:jc w:val="left"/>
            </w:pPr>
            <w:r>
              <w:rPr>
                <w:rFonts w:ascii="Calibri" w:hAnsi="Calibri"/>
                <w:b w:val="0"/>
                <w:color w:val="0F172A"/>
                <w:sz w:val="19"/>
              </w:rPr>
              <w:t>Questions / catégories / pays dans la version de référence</w:t>
            </w:r>
          </w:p>
        </w:tc>
      </w:tr>
    </w:tbl>
    <w:p>
      <w:pPr>
        <w:spacing w:after="40"/>
      </w:pPr>
    </w:p>
    <w:p>
      <w:r>
        <w:br w:type="page"/>
      </w:r>
    </w:p>
    <w:p>
      <w:pPr>
        <w:spacing w:before="0" w:after="120"/>
        <w:jc w:val="left"/>
      </w:pPr>
      <w:r>
        <w:rPr>
          <w:rFonts w:ascii="Calibri" w:hAnsi="Calibri"/>
          <w:b/>
          <w:color w:val="EB5F2A"/>
          <w:sz w:val="18"/>
        </w:rPr>
        <w:t>MODE D’EMPLOI</w:t>
      </w:r>
    </w:p>
    <w:p>
      <w:pPr>
        <w:pStyle w:val="Heading1"/>
      </w:pPr>
      <w:r>
        <w:t>Transformer ce dossier en présentation PowerPoint</w:t>
      </w:r>
    </w:p>
    <w:p>
      <w:pPr>
        <w:jc w:val="both"/>
      </w:pPr>
      <w:r>
        <w:t>Les vingt et une fiches suivantes correspondent à vingt et une diapositives. Chaque fiche contient le message à afficher, l’explication détaillée, les notes de prise de parole et une suggestion visuelle. Pour une présentation de 15 minutes, utiliser les diapositives 1, 2, 4, 6, 8, 10, 13, 14, 17, 18, 19, 20 et 21. Pour une réunion d’une heure, conserver l’ensemble et ajouter une démonstration de la plateforme.</w:t>
      </w:r>
    </w:p>
    <w:p>
      <w:pPr>
        <w:spacing w:before="80" w:after="200" w:line="288" w:lineRule="auto"/>
        <w:ind w:left="144" w:right="144"/>
        <w:shd w:fill="FFFBEB"/>
        <w:pBdr>
          <w:left w:val="single" w:sz="20" w:space="10" w:color="92400E"/>
        </w:pBdr>
      </w:pPr>
      <w:r>
        <w:rPr>
          <w:rFonts w:ascii="Calibri" w:hAnsi="Calibri"/>
          <w:b/>
          <w:color w:val="0F172A"/>
          <w:sz w:val="22"/>
        </w:rPr>
        <w:t xml:space="preserve">Conseil: </w:t>
      </w:r>
      <w:r>
        <w:rPr>
          <w:rFonts w:ascii="Calibri" w:hAnsi="Calibri"/>
          <w:color w:val="0F172A"/>
          <w:sz w:val="22"/>
        </w:rPr>
        <w:t>Ne pas copier toutes les notes dans les diapositives. Les diapositives doivent rester visuelles; les paragraphes détaillés servent au discours oral et aux réponses aux questions.</w:t>
      </w:r>
    </w:p>
    <w:p>
      <w:pPr>
        <w:pStyle w:val="Heading2"/>
      </w:pPr>
      <w:r>
        <w:t>Structure proposée</w:t>
      </w:r>
    </w:p>
    <w:tbl>
      <w:tblPr>
        <w:tblStyle w:val="TableGrid"/>
        <w:tblW w:type="dxa" w:w="9360"/>
        <w:jc w:val="left"/>
        <w:tblLayout w:type="fixed"/>
        <w:tblLook w:firstColumn="1" w:firstRow="1" w:lastColumn="0" w:lastRow="0" w:noHBand="0" w:noVBand="1" w:val="04A0"/>
        <w:tblInd w:w="120" w:type="dxa"/>
      </w:tblPr>
      <w:tblGrid>
        <w:gridCol w:w="2952"/>
        <w:gridCol w:w="6408"/>
      </w:tblGrid>
      <w:tr>
        <w:trPr>
          <w:tblHeader w:val="true"/>
        </w:trPr>
        <w:tc>
          <w:tcPr>
            <w:tcW w:type="dxa" w:w="2952"/>
            <w:shd w:fill="0F172A"/>
            <w:tcMar>
              <w:top w:w="80" w:type="dxa"/>
              <w:start w:w="120" w:type="dxa"/>
              <w:bottom w:w="80" w:type="dxa"/>
              <w:end w:w="120" w:type="dxa"/>
            </w:tcMar>
            <w:vAlign w:val="center"/>
          </w:tcPr>
          <w:p>
            <w:pPr>
              <w:spacing w:after="0"/>
              <w:jc w:val="left"/>
            </w:pPr>
            <w:r>
              <w:rPr>
                <w:rFonts w:ascii="Calibri" w:hAnsi="Calibri"/>
                <w:b/>
                <w:color w:val="FFFFFF"/>
                <w:sz w:val="19"/>
              </w:rPr>
              <w:t>Partie</w:t>
            </w:r>
          </w:p>
        </w:tc>
        <w:tc>
          <w:tcPr>
            <w:tcW w:type="dxa" w:w="6408"/>
            <w:shd w:fill="0F172A"/>
            <w:tcMar>
              <w:top w:w="80" w:type="dxa"/>
              <w:start w:w="120" w:type="dxa"/>
              <w:bottom w:w="80" w:type="dxa"/>
              <w:end w:w="120" w:type="dxa"/>
            </w:tcMar>
            <w:vAlign w:val="center"/>
          </w:tcPr>
          <w:p>
            <w:pPr>
              <w:spacing w:after="0"/>
              <w:jc w:val="left"/>
            </w:pPr>
            <w:r>
              <w:rPr>
                <w:rFonts w:ascii="Calibri" w:hAnsi="Calibri"/>
                <w:b/>
                <w:color w:val="FFFFFF"/>
                <w:sz w:val="19"/>
              </w:rPr>
              <w:t>Contenu</w:t>
            </w:r>
          </w:p>
        </w:tc>
      </w:tr>
      <w:tr>
        <w:tc>
          <w:tcPr>
            <w:tcW w:type="dxa" w:w="2952"/>
            <w:tcMar>
              <w:top w:w="80" w:type="dxa"/>
              <w:start w:w="120" w:type="dxa"/>
              <w:bottom w:w="80" w:type="dxa"/>
              <w:end w:w="120" w:type="dxa"/>
            </w:tcMar>
            <w:vAlign w:val="center"/>
          </w:tcPr>
          <w:p>
            <w:pPr>
              <w:spacing w:after="0" w:line="264" w:lineRule="auto"/>
              <w:jc w:val="left"/>
            </w:pPr>
            <w:r>
              <w:rPr>
                <w:rFonts w:ascii="Calibri" w:hAnsi="Calibri"/>
                <w:b/>
                <w:color w:val="0F172A"/>
                <w:sz w:val="19"/>
              </w:rPr>
              <w:t>Partie 1 - Convaincre de l’importance</w:t>
            </w:r>
          </w:p>
        </w:tc>
        <w:tc>
          <w:tcPr>
            <w:tcW w:type="dxa" w:w="6408"/>
            <w:tcMar>
              <w:top w:w="80" w:type="dxa"/>
              <w:start w:w="120" w:type="dxa"/>
              <w:bottom w:w="80" w:type="dxa"/>
              <w:end w:w="120" w:type="dxa"/>
            </w:tcMar>
            <w:vAlign w:val="center"/>
          </w:tcPr>
          <w:p>
            <w:pPr>
              <w:spacing w:after="0" w:line="264" w:lineRule="auto"/>
              <w:jc w:val="left"/>
            </w:pPr>
            <w:r>
              <w:rPr>
                <w:rFonts w:ascii="Calibri" w:hAnsi="Calibri"/>
                <w:b w:val="0"/>
                <w:color w:val="0F172A"/>
                <w:sz w:val="19"/>
              </w:rPr>
              <w:t>Diapositives 1 à 3: urgence, problème et besoin.</w:t>
            </w:r>
          </w:p>
        </w:tc>
      </w:tr>
      <w:tr>
        <w:tc>
          <w:tcPr>
            <w:tcW w:type="dxa" w:w="2952"/>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Partie 2 - Expliquer la solution</w:t>
            </w:r>
          </w:p>
        </w:tc>
        <w:tc>
          <w:tcPr>
            <w:tcW w:type="dxa" w:w="6408"/>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Diapositives 4 à 10: publics, parcours, diagnostic, résultat, ressources et sécurité.</w:t>
            </w:r>
          </w:p>
        </w:tc>
      </w:tr>
      <w:tr>
        <w:tc>
          <w:tcPr>
            <w:tcW w:type="dxa" w:w="2952"/>
            <w:tcMar>
              <w:top w:w="80" w:type="dxa"/>
              <w:start w:w="120" w:type="dxa"/>
              <w:bottom w:w="80" w:type="dxa"/>
              <w:end w:w="120" w:type="dxa"/>
            </w:tcMar>
            <w:vAlign w:val="center"/>
          </w:tcPr>
          <w:p>
            <w:pPr>
              <w:spacing w:after="0" w:line="264" w:lineRule="auto"/>
              <w:jc w:val="left"/>
            </w:pPr>
            <w:r>
              <w:rPr>
                <w:rFonts w:ascii="Calibri" w:hAnsi="Calibri"/>
                <w:b/>
                <w:color w:val="0F172A"/>
                <w:sz w:val="19"/>
              </w:rPr>
              <w:t>Partie 3 - Montrer la solidité</w:t>
            </w:r>
          </w:p>
        </w:tc>
        <w:tc>
          <w:tcPr>
            <w:tcW w:type="dxa" w:w="6408"/>
            <w:tcMar>
              <w:top w:w="80" w:type="dxa"/>
              <w:start w:w="120" w:type="dxa"/>
              <w:bottom w:w="80" w:type="dxa"/>
              <w:end w:w="120" w:type="dxa"/>
            </w:tcMar>
            <w:vAlign w:val="center"/>
          </w:tcPr>
          <w:p>
            <w:pPr>
              <w:spacing w:after="0" w:line="264" w:lineRule="auto"/>
              <w:jc w:val="left"/>
            </w:pPr>
            <w:r>
              <w:rPr>
                <w:rFonts w:ascii="Calibri" w:hAnsi="Calibri"/>
                <w:b w:val="0"/>
                <w:color w:val="0F172A"/>
                <w:sz w:val="19"/>
              </w:rPr>
              <w:t>Diapositives 11 à 15: comptes, administration, données, valeur partenaire et différenciation.</w:t>
            </w:r>
          </w:p>
        </w:tc>
      </w:tr>
      <w:tr>
        <w:tc>
          <w:tcPr>
            <w:tcW w:type="dxa" w:w="2952"/>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Partie 4 - Obtenir une décision</w:t>
            </w:r>
          </w:p>
        </w:tc>
        <w:tc>
          <w:tcPr>
            <w:tcW w:type="dxa" w:w="6408"/>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Diapositives 16 à 21: partenariat, pilote, indicateurs, risques, demande concrète et conclusion.</w:t>
            </w:r>
          </w:p>
        </w:tc>
      </w:tr>
      <w:tr>
        <w:tc>
          <w:tcPr>
            <w:tcW w:type="dxa" w:w="2952"/>
            <w:tcMar>
              <w:top w:w="80" w:type="dxa"/>
              <w:start w:w="120" w:type="dxa"/>
              <w:bottom w:w="80" w:type="dxa"/>
              <w:end w:w="120" w:type="dxa"/>
            </w:tcMar>
            <w:vAlign w:val="center"/>
          </w:tcPr>
          <w:p>
            <w:pPr>
              <w:spacing w:after="0" w:line="264" w:lineRule="auto"/>
              <w:jc w:val="left"/>
            </w:pPr>
            <w:r>
              <w:rPr>
                <w:rFonts w:ascii="Calibri" w:hAnsi="Calibri"/>
                <w:b/>
                <w:color w:val="0F172A"/>
                <w:sz w:val="19"/>
              </w:rPr>
              <w:t>Annexes</w:t>
            </w:r>
          </w:p>
        </w:tc>
        <w:tc>
          <w:tcPr>
            <w:tcW w:type="dxa" w:w="6408"/>
            <w:tcMar>
              <w:top w:w="80" w:type="dxa"/>
              <w:start w:w="120" w:type="dxa"/>
              <w:bottom w:w="80" w:type="dxa"/>
              <w:end w:w="120" w:type="dxa"/>
            </w:tcMar>
            <w:vAlign w:val="center"/>
          </w:tcPr>
          <w:p>
            <w:pPr>
              <w:spacing w:after="0" w:line="264" w:lineRule="auto"/>
              <w:jc w:val="left"/>
            </w:pPr>
            <w:r>
              <w:rPr>
                <w:rFonts w:ascii="Calibri" w:hAnsi="Calibri"/>
                <w:b w:val="0"/>
                <w:color w:val="0F172A"/>
                <w:sz w:val="19"/>
              </w:rPr>
              <w:t>Pitch de trois minutes, scénario de démonstration, FAQ, plan de conversion PowerPoint et sources.</w:t>
            </w:r>
          </w:p>
        </w:tc>
      </w:tr>
    </w:tbl>
    <w:p>
      <w:pPr>
        <w:spacing w:after="40"/>
      </w:pPr>
    </w:p>
    <w:p>
      <w:pPr>
        <w:pStyle w:val="Heading2"/>
      </w:pPr>
      <w:r>
        <w:t>Principes de langage devant les partenaires</w:t>
      </w:r>
    </w:p>
    <w:p>
      <w:pPr>
        <w:pStyle w:val="ListBullet"/>
      </w:pPr>
      <w:r>
        <w:t>Dire « outil de repérage et d’orientation », pas « diagnostic médical ».</w:t>
      </w:r>
    </w:p>
    <w:p>
      <w:pPr>
        <w:pStyle w:val="ListBullet"/>
      </w:pPr>
      <w:r>
        <w:t>Dire « accessible sans identité déclarée » ou « sans compte », pas « anonymat absolu » tant que l’audit complet n’est pas finalisé.</w:t>
      </w:r>
    </w:p>
    <w:p>
      <w:pPr>
        <w:pStyle w:val="ListBullet"/>
      </w:pPr>
      <w:r>
        <w:t>Présenter les chiffres avec leur période et leur source.</w:t>
      </w:r>
    </w:p>
    <w:p>
      <w:pPr>
        <w:pStyle w:val="ListBullet"/>
      </w:pPr>
      <w:r>
        <w:t>Séparer les capacités déjà opérationnelles des améliorations proposées dans le pilote.</w:t>
      </w:r>
    </w:p>
    <w:p>
      <w:pPr>
        <w:pStyle w:val="ListBullet"/>
      </w:pPr>
      <w:r>
        <w:t>Demander une prochaine étape précise: atelier de cadrage, point focal, note conceptuelle et budget.</w:t>
      </w:r>
    </w:p>
    <w:p>
      <w:r>
        <w:br w:type="page"/>
      </w:r>
    </w:p>
    <w:p>
      <w:pPr>
        <w:spacing w:before="0" w:after="120"/>
        <w:jc w:val="left"/>
      </w:pPr>
      <w:r>
        <w:rPr>
          <w:rFonts w:ascii="Calibri" w:hAnsi="Calibri"/>
          <w:b/>
          <w:color w:val="EB5F2A"/>
          <w:sz w:val="18"/>
        </w:rPr>
        <w:t>DIAPOSITIVE 01 SUR 21</w:t>
      </w:r>
    </w:p>
    <w:p>
      <w:pPr>
        <w:pStyle w:val="Heading1"/>
      </w:pPr>
      <w:r>
        <w:t>Rendre visible ce qui reste souvent invisible</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ALERTE VIOLENCE aide une personne à reconnaître des signaux de violence, à comprendre son niveau de risque et à trouver une aide adaptée.</w:t>
      </w:r>
    </w:p>
    <w:p>
      <w:pPr>
        <w:pStyle w:val="Heading2"/>
      </w:pPr>
      <w:r>
        <w:t>À afficher dans la diapositive</w:t>
      </w:r>
    </w:p>
    <w:p>
      <w:pPr>
        <w:pStyle w:val="ListBullet"/>
      </w:pPr>
      <w:r>
        <w:t>Un accès simple, gratuit et sans obligation de créer un compte.</w:t>
      </w:r>
    </w:p>
    <w:p>
      <w:pPr>
        <w:pStyle w:val="ListBullet"/>
      </w:pPr>
      <w:r>
        <w:t>Un diagnostic guidé pour soi-même ou pour aider un proche.</w:t>
      </w:r>
    </w:p>
    <w:p>
      <w:pPr>
        <w:pStyle w:val="ListBullet"/>
      </w:pPr>
      <w:r>
        <w:t>Un résultat lisible qui débouche sur une orientation concrète.</w:t>
      </w:r>
    </w:p>
    <w:p>
      <w:pPr>
        <w:pStyle w:val="Heading2"/>
      </w:pPr>
      <w:r>
        <w:t>Logique à expliquer</w:t>
      </w:r>
    </w:p>
    <w:p>
      <w:r>
        <w:t>Le point de départ n’est pas la technologie, mais une difficulté humaine: beaucoup de personnes vivent des comportements préoccupants sans pouvoir les nommer, les comparer ou savoir à qui parler. La plateforme transforme cette hésitation en un parcours progressif, discret et orienté vers l’action.</w:t>
      </w:r>
    </w:p>
    <w:p>
      <w:r>
        <w:t>La proposition n’est pas de remplacer les professionnelles et professionnels. Elle consiste à créer une première porte d’entrée accessible, disponible à toute heure, qui facilite ensuite la mise en relation avec les dispositifs compétents.</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Ouvrir avec une situation concrète: une personne doute, minimise ce qu’elle vit, cherche sur son téléphone et ne sait pas si elle doit demander de l’aide. ALERTE VIOLENCE lui donne un premier repère et une prochaine étape.</w:t>
      </w:r>
    </w:p>
    <w:p>
      <w:pPr>
        <w:spacing w:before="80"/>
      </w:pPr>
      <w:r>
        <w:rPr>
          <w:rFonts w:ascii="Calibri" w:hAnsi="Calibri"/>
          <w:b/>
          <w:color w:val="EB5F2A"/>
          <w:sz w:val="17"/>
        </w:rPr>
        <w:t xml:space="preserve">VISUEL POWERPOINT RECOMMANDÉ  </w:t>
      </w:r>
      <w:r>
        <w:rPr>
          <w:rFonts w:ascii="Calibri" w:hAnsi="Calibri"/>
          <w:i/>
          <w:color w:val="64748B"/>
          <w:sz w:val="19"/>
        </w:rPr>
        <w:t>Une phrase centrale sur fond sobre, accompagnée d’un chemin en trois mots: reconnaître, comprendre, agir.</w:t>
      </w:r>
    </w:p>
    <w:p>
      <w:r>
        <w:br w:type="page"/>
      </w:r>
    </w:p>
    <w:p>
      <w:pPr>
        <w:spacing w:before="0" w:after="120"/>
        <w:jc w:val="left"/>
      </w:pPr>
      <w:r>
        <w:rPr>
          <w:rFonts w:ascii="Calibri" w:hAnsi="Calibri"/>
          <w:b/>
          <w:color w:val="EB5F2A"/>
          <w:sz w:val="18"/>
        </w:rPr>
        <w:t>DIAPOSITIVE 02 SUR 21</w:t>
      </w:r>
    </w:p>
    <w:p>
      <w:pPr>
        <w:pStyle w:val="Heading1"/>
      </w:pPr>
      <w:r>
        <w:t>Une urgence de santé publique et de droits humains</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Les violences faites aux femmes sont massives, souvent répétées et lourdes de conséquences physiques, psychologiques, sociales et économiques.</w:t>
      </w:r>
    </w:p>
    <w:p>
      <w:pPr>
        <w:pStyle w:val="Heading2"/>
      </w:pPr>
      <w:r>
        <w:t>À afficher dans la diapositive</w:t>
      </w:r>
    </w:p>
    <w:p>
      <w:pPr>
        <w:pStyle w:val="ListBullet"/>
      </w:pPr>
      <w:r>
        <w:t>31,6 % des femmes et filles dans le monde ont subi au cours de leur vie des violences physiques et/ou sexuelles selon les estimations OMS 2023.</w:t>
      </w:r>
    </w:p>
    <w:p>
      <w:pPr>
        <w:pStyle w:val="ListBullet"/>
      </w:pPr>
      <w:r>
        <w:t>Au Niger, 12,9 % des femmes de 15 à 49 ans déclaraient en 2018 des violences physiques et/ou sexuelles d’un partenaire au cours des douze mois précédents.</w:t>
      </w:r>
    </w:p>
    <w:p>
      <w:pPr>
        <w:pStyle w:val="ListBullet"/>
      </w:pPr>
      <w:r>
        <w:t>Le repérage précoce et l’orientation sont des maillons essentiels de la réponse.</w:t>
      </w:r>
    </w:p>
    <w:p>
      <w:pPr>
        <w:pStyle w:val="Heading2"/>
      </w:pPr>
      <w:r>
        <w:t>Logique à expliquer</w:t>
      </w:r>
    </w:p>
    <w:p>
      <w:r>
        <w:t>Ces chiffres ne décrivent pas toutes les formes de violence et ne doivent pas être comparés directement: le premier porte sur l’exposition au cours de la vie, le second sur les douze derniers mois. Ensemble, ils montrent néanmoins l’ampleur du besoin et la nécessité d’outils accessibles de prévention et d’orientation.</w:t>
      </w:r>
    </w:p>
    <w:p>
      <w:r>
        <w:t>L’OMS rappelle que ces violences affectent la santé physique, mentale, sexuelle et reproductive. Une plateforme numérique ne règle pas à elle seule le problème, mais elle peut réduire le délai entre le doute, la prise de conscience et la recherche d’aide.</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Insister sur la différence entre les périodes de mesure. Cette précision renforce la crédibilité et évite de présenter des statistiques de manière sensationnaliste.</w:t>
      </w:r>
    </w:p>
    <w:p>
      <w:pPr>
        <w:spacing w:before="80"/>
      </w:pPr>
      <w:r>
        <w:rPr>
          <w:rFonts w:ascii="Calibri" w:hAnsi="Calibri"/>
          <w:b/>
          <w:color w:val="EB5F2A"/>
          <w:sz w:val="17"/>
        </w:rPr>
        <w:t xml:space="preserve">VISUEL POWERPOINT RECOMMANDÉ  </w:t>
      </w:r>
      <w:r>
        <w:rPr>
          <w:rFonts w:ascii="Calibri" w:hAnsi="Calibri"/>
          <w:i/>
          <w:color w:val="64748B"/>
          <w:sz w:val="19"/>
        </w:rPr>
        <w:t>Deux chiffres forts avec leur source et leur période, puis une flèche vers le besoin: repérage précoce + orientation.</w:t>
      </w:r>
    </w:p>
    <w:p>
      <w:r>
        <w:br w:type="page"/>
      </w:r>
    </w:p>
    <w:p>
      <w:pPr>
        <w:spacing w:before="0" w:after="120"/>
        <w:jc w:val="left"/>
      </w:pPr>
      <w:r>
        <w:rPr>
          <w:rFonts w:ascii="Calibri" w:hAnsi="Calibri"/>
          <w:b/>
          <w:color w:val="EB5F2A"/>
          <w:sz w:val="18"/>
        </w:rPr>
        <w:t>DIAPOSITIVE 03 SUR 21</w:t>
      </w:r>
    </w:p>
    <w:p>
      <w:pPr>
        <w:pStyle w:val="Heading1"/>
      </w:pPr>
      <w:r>
        <w:t>Le problème concret: entre le vécu et l’aide, un vide persiste</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Une personne peut être en danger sans se reconnaître comme victime, sans connaître les ressources disponibles ou sans pouvoir parler immédiatement à quelqu’un.</w:t>
      </w:r>
    </w:p>
    <w:p>
      <w:pPr>
        <w:pStyle w:val="Heading2"/>
      </w:pPr>
      <w:r>
        <w:t>À afficher dans la diapositive</w:t>
      </w:r>
    </w:p>
    <w:p>
      <w:pPr>
        <w:pStyle w:val="ListBullet"/>
      </w:pPr>
      <w:r>
        <w:t>Normalisation de comportements violents ou contrôlants.</w:t>
      </w:r>
    </w:p>
    <w:p>
      <w:pPr>
        <w:pStyle w:val="ListBullet"/>
      </w:pPr>
      <w:r>
        <w:t>Peur, honte, isolement et dépendance.</w:t>
      </w:r>
    </w:p>
    <w:p>
      <w:pPr>
        <w:pStyle w:val="ListBullet"/>
      </w:pPr>
      <w:r>
        <w:t>Informations dispersées et contacts difficiles à identifier.</w:t>
      </w:r>
    </w:p>
    <w:p>
      <w:pPr>
        <w:pStyle w:val="ListBullet"/>
      </w:pPr>
      <w:r>
        <w:t>Services d’accompagnement qui interviennent souvent après une longue période de silence.</w:t>
      </w:r>
    </w:p>
    <w:p>
      <w:pPr>
        <w:pStyle w:val="Heading2"/>
      </w:pPr>
      <w:r>
        <w:t>Logique à expliquer</w:t>
      </w:r>
    </w:p>
    <w:p>
      <w:r>
        <w:t>Le parcours d’aide est rarement linéaire. La personne peut consulter plusieurs fois, interrompre son diagnostic, revenir plus tard ou chercher d’abord pour un proche. La plateforme est conçue pour respecter ce rythme: progression sauvegardée localement, mode discret, sortie rapide, reprise du questionnaire et accès immédiat aux ressources.</w:t>
      </w:r>
    </w:p>
    <w:p>
      <w:r>
        <w:t>Pour les organisations, un autre vide existe: le manque d’indicateurs agrégés sur les parcours numériques, les abandons, les niveaux de risque et les besoins d’orientation limite l’amélioration continue des actions de sensibilisation.</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Ne pas réduire le problème à un manque d’information. Il s’agit aussi de confiance, de sécurité, de disponibilité et de capacité à avancer à son propre rythme.</w:t>
      </w:r>
    </w:p>
    <w:p>
      <w:pPr>
        <w:spacing w:before="80"/>
      </w:pPr>
      <w:r>
        <w:rPr>
          <w:rFonts w:ascii="Calibri" w:hAnsi="Calibri"/>
          <w:b/>
          <w:color w:val="EB5F2A"/>
          <w:sz w:val="17"/>
        </w:rPr>
        <w:t xml:space="preserve">VISUEL POWERPOINT RECOMMANDÉ  </w:t>
      </w:r>
      <w:r>
        <w:rPr>
          <w:rFonts w:ascii="Calibri" w:hAnsi="Calibri"/>
          <w:i/>
          <w:color w:val="64748B"/>
          <w:sz w:val="19"/>
        </w:rPr>
        <w:t>Un parcours interrompu entre quatre étapes: vécu, prise de conscience, demande d’aide, prise en charge.</w:t>
      </w:r>
    </w:p>
    <w:p>
      <w:r>
        <w:br w:type="page"/>
      </w:r>
    </w:p>
    <w:p>
      <w:pPr>
        <w:spacing w:before="0" w:after="120"/>
        <w:jc w:val="left"/>
      </w:pPr>
      <w:r>
        <w:rPr>
          <w:rFonts w:ascii="Calibri" w:hAnsi="Calibri"/>
          <w:b/>
          <w:color w:val="EB5F2A"/>
          <w:sz w:val="18"/>
        </w:rPr>
        <w:t>DIAPOSITIVE 04 SUR 21</w:t>
      </w:r>
    </w:p>
    <w:p>
      <w:pPr>
        <w:pStyle w:val="Heading1"/>
      </w:pPr>
      <w:r>
        <w:t>La réponse proposée: un continuum numérique de prévention</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ALERTE VIOLENCE relie sensibilisation, autoévaluation, orientation, suivi personnel et pilotage institutionnel dans une même plateforme.</w:t>
      </w:r>
    </w:p>
    <w:p>
      <w:pPr>
        <w:pStyle w:val="Heading2"/>
      </w:pPr>
      <w:r>
        <w:t>À afficher dans la diapositive</w:t>
      </w:r>
    </w:p>
    <w:p>
      <w:pPr>
        <w:pStyle w:val="ListBullet"/>
      </w:pPr>
      <w:r>
        <w:t>Informer sans culpabiliser.</w:t>
      </w:r>
    </w:p>
    <w:p>
      <w:pPr>
        <w:pStyle w:val="ListBullet"/>
      </w:pPr>
      <w:r>
        <w:t>Évaluer des signaux à travers un questionnaire structuré.</w:t>
      </w:r>
    </w:p>
    <w:p>
      <w:pPr>
        <w:pStyle w:val="ListBullet"/>
      </w:pPr>
      <w:r>
        <w:t>Restituer un niveau et des résultats par catégorie.</w:t>
      </w:r>
    </w:p>
    <w:p>
      <w:pPr>
        <w:pStyle w:val="ListBullet"/>
      </w:pPr>
      <w:r>
        <w:t>Orienter vers des structures et numéros d’urgence par pays.</w:t>
      </w:r>
    </w:p>
    <w:p>
      <w:pPr>
        <w:pStyle w:val="ListBullet"/>
      </w:pPr>
      <w:r>
        <w:t>Mesurer les usages pour améliorer la réponse.</w:t>
      </w:r>
    </w:p>
    <w:p>
      <w:pPr>
        <w:pStyle w:val="Heading2"/>
      </w:pPr>
      <w:r>
        <w:t>Logique à expliquer</w:t>
      </w:r>
    </w:p>
    <w:p>
      <w:r>
        <w:t>La valeur de la plateforme vient de la continuité entre ces fonctions. Une campagne de sensibilisation peut conduire directement au diagnostic; le diagnostic conduit à une interprétation; l’interprétation conduit à des ressources; et les indicateurs anonymisés ou pseudonymisés permettent d’observer où le parcours fonctionne ou se bloque.</w:t>
      </w:r>
    </w:p>
    <w:p>
      <w:r>
        <w:t>La plateforme est administrable: les questionnaires, catégories, questions, options, ressources, contenus du site, notifications et accès des équipes peuvent évoluer sans reconstruire l’ensemble du produit.</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Présenter la plateforme comme une infrastructure de prévention et d’orientation, pas comme un simple questionnaire en ligne.</w:t>
      </w:r>
    </w:p>
    <w:p>
      <w:pPr>
        <w:spacing w:before="80"/>
      </w:pPr>
      <w:r>
        <w:rPr>
          <w:rFonts w:ascii="Calibri" w:hAnsi="Calibri"/>
          <w:b/>
          <w:color w:val="EB5F2A"/>
          <w:sz w:val="17"/>
        </w:rPr>
        <w:t xml:space="preserve">VISUEL POWERPOINT RECOMMANDÉ  </w:t>
      </w:r>
      <w:r>
        <w:rPr>
          <w:rFonts w:ascii="Calibri" w:hAnsi="Calibri"/>
          <w:i/>
          <w:color w:val="64748B"/>
          <w:sz w:val="19"/>
        </w:rPr>
        <w:t>Une boucle en cinq étapes: informer, diagnostiquer, restituer, orienter, améliorer.</w:t>
      </w:r>
    </w:p>
    <w:p>
      <w:r>
        <w:br w:type="page"/>
      </w:r>
    </w:p>
    <w:p>
      <w:pPr>
        <w:spacing w:before="0" w:after="120"/>
        <w:jc w:val="left"/>
      </w:pPr>
      <w:r>
        <w:rPr>
          <w:rFonts w:ascii="Calibri" w:hAnsi="Calibri"/>
          <w:b/>
          <w:color w:val="EB5F2A"/>
          <w:sz w:val="18"/>
        </w:rPr>
        <w:t>DIAPOSITIVE 05 SUR 21</w:t>
      </w:r>
    </w:p>
    <w:p>
      <w:pPr>
        <w:pStyle w:val="Heading1"/>
      </w:pPr>
      <w:r>
        <w:t>Pour qui la plateforme est-elle conçue?</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La plateforme sert à la fois les personnes concernées, leurs proches, les organisations d’aide et les partenaires qui financent ou coordonnent la réponse.</w:t>
      </w:r>
    </w:p>
    <w:p>
      <w:pPr>
        <w:pStyle w:val="Heading2"/>
      </w:pPr>
      <w:r>
        <w:t>À afficher dans la diapositive</w:t>
      </w:r>
    </w:p>
    <w:p>
      <w:pPr>
        <w:pStyle w:val="ListBullet"/>
      </w:pPr>
      <w:r>
        <w:t>Personnes qui s’interrogent sur leur relation ou leur environnement.</w:t>
      </w:r>
    </w:p>
    <w:p>
      <w:pPr>
        <w:pStyle w:val="ListBullet"/>
      </w:pPr>
      <w:r>
        <w:t>Proches souhaitant mieux comprendre une situation préoccupante.</w:t>
      </w:r>
    </w:p>
    <w:p>
      <w:pPr>
        <w:pStyle w:val="ListBullet"/>
      </w:pPr>
      <w:r>
        <w:t>Associations, lignes d’écoute, services sociaux, sanitaires et juridiques.</w:t>
      </w:r>
    </w:p>
    <w:p>
      <w:pPr>
        <w:pStyle w:val="ListBullet"/>
      </w:pPr>
      <w:r>
        <w:t>Institutions publiques, partenaires techniques et financiers, chercheurs et réseaux régionaux.</w:t>
      </w:r>
    </w:p>
    <w:p>
      <w:pPr>
        <w:pStyle w:val="Heading2"/>
      </w:pPr>
      <w:r>
        <w:t>Logique à expliquer</w:t>
      </w:r>
    </w:p>
    <w:p>
      <w:r>
        <w:t>Chaque public utilise une couche différente. La personne concernée bénéficie d’un parcours confidentiel et orienté vers l’aide. Le proche utilise le mode dédié sans usurper la parole de la personne. Les équipes administratives mettent à jour les contenus et ressources. Les partenaires consultent des indicateurs agrégés pour suivre un pilote ou une campagne.</w:t>
      </w:r>
    </w:p>
    <w:p>
      <w:r>
        <w:t>Cette architecture multi-acteurs permet à un investissement unique de soutenir simultanément prévention, orientation, coordination et apprentissage institutionnel.</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Donner un exemple par public. Éviter de dire que tous voient les mêmes données: les accès administratifs sont modulaires et les informations sensibles doivent rester strictement limitées.</w:t>
      </w:r>
    </w:p>
    <w:p>
      <w:pPr>
        <w:spacing w:before="80"/>
      </w:pPr>
      <w:r>
        <w:rPr>
          <w:rFonts w:ascii="Calibri" w:hAnsi="Calibri"/>
          <w:b/>
          <w:color w:val="EB5F2A"/>
          <w:sz w:val="17"/>
        </w:rPr>
        <w:t xml:space="preserve">VISUEL POWERPOINT RECOMMANDÉ  </w:t>
      </w:r>
      <w:r>
        <w:rPr>
          <w:rFonts w:ascii="Calibri" w:hAnsi="Calibri"/>
          <w:i/>
          <w:color w:val="64748B"/>
          <w:sz w:val="19"/>
        </w:rPr>
        <w:t>Quatre cercles autour de la plateforme: utilisatrice, proche, professionnel, partenaire.</w:t>
      </w:r>
    </w:p>
    <w:p>
      <w:r>
        <w:br w:type="page"/>
      </w:r>
    </w:p>
    <w:p>
      <w:pPr>
        <w:spacing w:before="0" w:after="120"/>
        <w:jc w:val="left"/>
      </w:pPr>
      <w:r>
        <w:rPr>
          <w:rFonts w:ascii="Calibri" w:hAnsi="Calibri"/>
          <w:b/>
          <w:color w:val="EB5F2A"/>
          <w:sz w:val="18"/>
        </w:rPr>
        <w:t>DIAPOSITIVE 06 SUR 21</w:t>
      </w:r>
    </w:p>
    <w:p>
      <w:pPr>
        <w:pStyle w:val="Heading1"/>
      </w:pPr>
      <w:r>
        <w:t>Comment ça marche: le parcours en cinq étapes</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Le parcours est volontairement court, progressif et orienté vers une décision utile.</w:t>
      </w:r>
    </w:p>
    <w:tbl>
      <w:tblPr>
        <w:tblStyle w:val="TableGrid"/>
        <w:tblW w:type="dxa" w:w="9360"/>
        <w:jc w:val="left"/>
        <w:tblLayout w:type="fixed"/>
        <w:tblLook w:firstColumn="1" w:firstRow="1" w:lastColumn="0" w:lastRow="0" w:noHBand="0" w:noVBand="1" w:val="04A0"/>
        <w:tblInd w:w="120" w:type="dxa"/>
      </w:tblPr>
      <w:tblGrid>
        <w:gridCol w:w="1080"/>
        <w:gridCol w:w="3384"/>
        <w:gridCol w:w="4896"/>
      </w:tblGrid>
      <w:tr>
        <w:trPr>
          <w:tblHeader w:val="true"/>
        </w:trPr>
        <w:tc>
          <w:tcPr>
            <w:tcW w:type="dxa" w:w="1080"/>
            <w:shd w:fill="0F172A"/>
            <w:tcMar>
              <w:top w:w="80" w:type="dxa"/>
              <w:start w:w="120" w:type="dxa"/>
              <w:bottom w:w="80" w:type="dxa"/>
              <w:end w:w="120" w:type="dxa"/>
            </w:tcMar>
            <w:vAlign w:val="center"/>
          </w:tcPr>
          <w:p>
            <w:pPr>
              <w:spacing w:after="0"/>
              <w:jc w:val="left"/>
            </w:pPr>
            <w:r>
              <w:rPr>
                <w:rFonts w:ascii="Calibri" w:hAnsi="Calibri"/>
                <w:b/>
                <w:color w:val="FFFFFF"/>
                <w:sz w:val="19"/>
              </w:rPr>
              <w:t>Étape</w:t>
            </w:r>
          </w:p>
        </w:tc>
        <w:tc>
          <w:tcPr>
            <w:tcW w:type="dxa" w:w="3384"/>
            <w:shd w:fill="0F172A"/>
            <w:tcMar>
              <w:top w:w="80" w:type="dxa"/>
              <w:start w:w="120" w:type="dxa"/>
              <w:bottom w:w="80" w:type="dxa"/>
              <w:end w:w="120" w:type="dxa"/>
            </w:tcMar>
            <w:vAlign w:val="center"/>
          </w:tcPr>
          <w:p>
            <w:pPr>
              <w:spacing w:after="0"/>
              <w:jc w:val="left"/>
            </w:pPr>
            <w:r>
              <w:rPr>
                <w:rFonts w:ascii="Calibri" w:hAnsi="Calibri"/>
                <w:b/>
                <w:color w:val="FFFFFF"/>
                <w:sz w:val="19"/>
              </w:rPr>
              <w:t>Action de la personne</w:t>
            </w:r>
          </w:p>
        </w:tc>
        <w:tc>
          <w:tcPr>
            <w:tcW w:type="dxa" w:w="4896"/>
            <w:shd w:fill="0F172A"/>
            <w:tcMar>
              <w:top w:w="80" w:type="dxa"/>
              <w:start w:w="120" w:type="dxa"/>
              <w:bottom w:w="80" w:type="dxa"/>
              <w:end w:w="120" w:type="dxa"/>
            </w:tcMar>
            <w:vAlign w:val="center"/>
          </w:tcPr>
          <w:p>
            <w:pPr>
              <w:spacing w:after="0"/>
              <w:jc w:val="left"/>
            </w:pPr>
            <w:r>
              <w:rPr>
                <w:rFonts w:ascii="Calibri" w:hAnsi="Calibri"/>
                <w:b/>
                <w:color w:val="FFFFFF"/>
                <w:sz w:val="19"/>
              </w:rPr>
              <w:t>Réponse de la plateforme</w:t>
            </w:r>
          </w:p>
        </w:tc>
      </w:tr>
      <w:tr>
        <w:tc>
          <w:tcPr>
            <w:tcW w:type="dxa" w:w="1080"/>
            <w:tcMar>
              <w:top w:w="80" w:type="dxa"/>
              <w:start w:w="120" w:type="dxa"/>
              <w:bottom w:w="80" w:type="dxa"/>
              <w:end w:w="120" w:type="dxa"/>
            </w:tcMar>
            <w:vAlign w:val="center"/>
          </w:tcPr>
          <w:p>
            <w:pPr>
              <w:spacing w:after="0" w:line="264" w:lineRule="auto"/>
              <w:jc w:val="left"/>
            </w:pPr>
            <w:r>
              <w:rPr>
                <w:rFonts w:ascii="Calibri" w:hAnsi="Calibri"/>
                <w:b/>
                <w:color w:val="0F172A"/>
                <w:sz w:val="19"/>
              </w:rPr>
              <w:t>1</w:t>
            </w:r>
          </w:p>
        </w:tc>
        <w:tc>
          <w:tcPr>
            <w:tcW w:type="dxa" w:w="3384"/>
            <w:tcMar>
              <w:top w:w="80" w:type="dxa"/>
              <w:start w:w="120" w:type="dxa"/>
              <w:bottom w:w="80" w:type="dxa"/>
              <w:end w:w="120" w:type="dxa"/>
            </w:tcMar>
            <w:vAlign w:val="center"/>
          </w:tcPr>
          <w:p>
            <w:pPr>
              <w:spacing w:after="0" w:line="264" w:lineRule="auto"/>
              <w:jc w:val="left"/>
            </w:pPr>
            <w:r>
              <w:rPr>
                <w:rFonts w:ascii="Calibri" w:hAnsi="Calibri"/>
                <w:b w:val="0"/>
                <w:color w:val="0F172A"/>
                <w:sz w:val="19"/>
              </w:rPr>
              <w:t>Choisir un diagnostic et un mode</w:t>
            </w:r>
          </w:p>
        </w:tc>
        <w:tc>
          <w:tcPr>
            <w:tcW w:type="dxa" w:w="4896"/>
            <w:tcMar>
              <w:top w:w="80" w:type="dxa"/>
              <w:start w:w="120" w:type="dxa"/>
              <w:bottom w:w="80" w:type="dxa"/>
              <w:end w:w="120" w:type="dxa"/>
            </w:tcMar>
            <w:vAlign w:val="center"/>
          </w:tcPr>
          <w:p>
            <w:pPr>
              <w:spacing w:after="0" w:line="264" w:lineRule="auto"/>
              <w:jc w:val="left"/>
            </w:pPr>
            <w:r>
              <w:rPr>
                <w:rFonts w:ascii="Calibri" w:hAnsi="Calibri"/>
                <w:b w:val="0"/>
                <w:color w:val="0F172A"/>
                <w:sz w:val="19"/>
              </w:rPr>
              <w:t>Parcours pour soi-même ou pour un proche</w:t>
            </w:r>
          </w:p>
        </w:tc>
      </w:tr>
      <w:tr>
        <w:tc>
          <w:tcPr>
            <w:tcW w:type="dxa" w:w="1080"/>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2</w:t>
            </w:r>
          </w:p>
        </w:tc>
        <w:tc>
          <w:tcPr>
            <w:tcW w:type="dxa" w:w="3384"/>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Répondre progressivement</w:t>
            </w:r>
          </w:p>
        </w:tc>
        <w:tc>
          <w:tcPr>
            <w:tcW w:type="dxa" w:w="4896"/>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Questions regroupées par catégories</w:t>
            </w:r>
          </w:p>
        </w:tc>
      </w:tr>
      <w:tr>
        <w:tc>
          <w:tcPr>
            <w:tcW w:type="dxa" w:w="1080"/>
            <w:tcMar>
              <w:top w:w="80" w:type="dxa"/>
              <w:start w:w="120" w:type="dxa"/>
              <w:bottom w:w="80" w:type="dxa"/>
              <w:end w:w="120" w:type="dxa"/>
            </w:tcMar>
            <w:vAlign w:val="center"/>
          </w:tcPr>
          <w:p>
            <w:pPr>
              <w:spacing w:after="0" w:line="264" w:lineRule="auto"/>
              <w:jc w:val="left"/>
            </w:pPr>
            <w:r>
              <w:rPr>
                <w:rFonts w:ascii="Calibri" w:hAnsi="Calibri"/>
                <w:b/>
                <w:color w:val="0F172A"/>
                <w:sz w:val="19"/>
              </w:rPr>
              <w:t>3</w:t>
            </w:r>
          </w:p>
        </w:tc>
        <w:tc>
          <w:tcPr>
            <w:tcW w:type="dxa" w:w="3384"/>
            <w:tcMar>
              <w:top w:w="80" w:type="dxa"/>
              <w:start w:w="120" w:type="dxa"/>
              <w:bottom w:w="80" w:type="dxa"/>
              <w:end w:w="120" w:type="dxa"/>
            </w:tcMar>
            <w:vAlign w:val="center"/>
          </w:tcPr>
          <w:p>
            <w:pPr>
              <w:spacing w:after="0" w:line="264" w:lineRule="auto"/>
              <w:jc w:val="left"/>
            </w:pPr>
            <w:r>
              <w:rPr>
                <w:rFonts w:ascii="Calibri" w:hAnsi="Calibri"/>
                <w:b w:val="0"/>
                <w:color w:val="0F172A"/>
                <w:sz w:val="19"/>
              </w:rPr>
              <w:t>Interrompre ou continuer</w:t>
            </w:r>
          </w:p>
        </w:tc>
        <w:tc>
          <w:tcPr>
            <w:tcW w:type="dxa" w:w="4896"/>
            <w:tcMar>
              <w:top w:w="80" w:type="dxa"/>
              <w:start w:w="120" w:type="dxa"/>
              <w:bottom w:w="80" w:type="dxa"/>
              <w:end w:w="120" w:type="dxa"/>
            </w:tcMar>
            <w:vAlign w:val="center"/>
          </w:tcPr>
          <w:p>
            <w:pPr>
              <w:spacing w:after="0" w:line="264" w:lineRule="auto"/>
              <w:jc w:val="left"/>
            </w:pPr>
            <w:r>
              <w:rPr>
                <w:rFonts w:ascii="Calibri" w:hAnsi="Calibri"/>
                <w:b w:val="0"/>
                <w:color w:val="0F172A"/>
                <w:sz w:val="19"/>
              </w:rPr>
              <w:t>Sauvegarde locale et reprise possible</w:t>
            </w:r>
          </w:p>
        </w:tc>
      </w:tr>
      <w:tr>
        <w:tc>
          <w:tcPr>
            <w:tcW w:type="dxa" w:w="1080"/>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4</w:t>
            </w:r>
          </w:p>
        </w:tc>
        <w:tc>
          <w:tcPr>
            <w:tcW w:type="dxa" w:w="3384"/>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Consulter le résultat</w:t>
            </w:r>
          </w:p>
        </w:tc>
        <w:tc>
          <w:tcPr>
            <w:tcW w:type="dxa" w:w="4896"/>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Niveau global, scores détaillés et messages adaptés</w:t>
            </w:r>
          </w:p>
        </w:tc>
      </w:tr>
      <w:tr>
        <w:tc>
          <w:tcPr>
            <w:tcW w:type="dxa" w:w="1080"/>
            <w:tcMar>
              <w:top w:w="80" w:type="dxa"/>
              <w:start w:w="120" w:type="dxa"/>
              <w:bottom w:w="80" w:type="dxa"/>
              <w:end w:w="120" w:type="dxa"/>
            </w:tcMar>
            <w:vAlign w:val="center"/>
          </w:tcPr>
          <w:p>
            <w:pPr>
              <w:spacing w:after="0" w:line="264" w:lineRule="auto"/>
              <w:jc w:val="left"/>
            </w:pPr>
            <w:r>
              <w:rPr>
                <w:rFonts w:ascii="Calibri" w:hAnsi="Calibri"/>
                <w:b/>
                <w:color w:val="0F172A"/>
                <w:sz w:val="19"/>
              </w:rPr>
              <w:t>5</w:t>
            </w:r>
          </w:p>
        </w:tc>
        <w:tc>
          <w:tcPr>
            <w:tcW w:type="dxa" w:w="3384"/>
            <w:tcMar>
              <w:top w:w="80" w:type="dxa"/>
              <w:start w:w="120" w:type="dxa"/>
              <w:bottom w:w="80" w:type="dxa"/>
              <w:end w:w="120" w:type="dxa"/>
            </w:tcMar>
            <w:vAlign w:val="center"/>
          </w:tcPr>
          <w:p>
            <w:pPr>
              <w:spacing w:after="0" w:line="264" w:lineRule="auto"/>
              <w:jc w:val="left"/>
            </w:pPr>
            <w:r>
              <w:rPr>
                <w:rFonts w:ascii="Calibri" w:hAnsi="Calibri"/>
                <w:b w:val="0"/>
                <w:color w:val="0F172A"/>
                <w:sz w:val="19"/>
              </w:rPr>
              <w:t>Chercher de l’aide</w:t>
            </w:r>
          </w:p>
        </w:tc>
        <w:tc>
          <w:tcPr>
            <w:tcW w:type="dxa" w:w="4896"/>
            <w:tcMar>
              <w:top w:w="80" w:type="dxa"/>
              <w:start w:w="120" w:type="dxa"/>
              <w:bottom w:w="80" w:type="dxa"/>
              <w:end w:w="120" w:type="dxa"/>
            </w:tcMar>
            <w:vAlign w:val="center"/>
          </w:tcPr>
          <w:p>
            <w:pPr>
              <w:spacing w:after="0" w:line="264" w:lineRule="auto"/>
              <w:jc w:val="left"/>
            </w:pPr>
            <w:r>
              <w:rPr>
                <w:rFonts w:ascii="Calibri" w:hAnsi="Calibri"/>
                <w:b w:val="0"/>
                <w:color w:val="0F172A"/>
                <w:sz w:val="19"/>
              </w:rPr>
              <w:t>Ressources par pays, urgence et partage du résultat</w:t>
            </w:r>
          </w:p>
        </w:tc>
      </w:tr>
    </w:tbl>
    <w:p>
      <w:pPr>
        <w:spacing w:after="40"/>
      </w:pPr>
    </w:p>
    <w:p>
      <w:pPr>
        <w:pStyle w:val="Heading2"/>
      </w:pPr>
      <w:r>
        <w:t>Logique à expliquer</w:t>
      </w:r>
    </w:p>
    <w:p>
      <w:r>
        <w:t>Le diagnostic peut être commencé sans connexion. Une tentative est créée afin de mesurer le démarrage et la progression, y compris lorsqu’elle reste anonyme. La personne peut interrompre et reprendre son parcours sur le même appareil.</w:t>
      </w:r>
    </w:p>
    <w:p>
      <w:r>
        <w:t>À la fin, la plateforme calcule le score global et les scores par catégorie, enregistre la durée et présente les ressources. Si la personne possède un compte, son historique est disponible dans son tableau de bord personnel.</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Faire une démonstration en direct après cette diapositive: choisir le mode, répondre à deux ou trois questions, montrer la progression, puis ouvrir un résultat préparé.</w:t>
      </w:r>
    </w:p>
    <w:p>
      <w:pPr>
        <w:spacing w:before="80"/>
      </w:pPr>
      <w:r>
        <w:rPr>
          <w:rFonts w:ascii="Calibri" w:hAnsi="Calibri"/>
          <w:b/>
          <w:color w:val="EB5F2A"/>
          <w:sz w:val="17"/>
        </w:rPr>
        <w:t xml:space="preserve">VISUEL POWERPOINT RECOMMANDÉ  </w:t>
      </w:r>
      <w:r>
        <w:rPr>
          <w:rFonts w:ascii="Calibri" w:hAnsi="Calibri"/>
          <w:i/>
          <w:color w:val="64748B"/>
          <w:sz w:val="19"/>
        </w:rPr>
        <w:t>Une frise numérotée de 1 à 5 avec une capture d’écran par étape.</w:t>
      </w:r>
    </w:p>
    <w:p>
      <w:r>
        <w:br w:type="page"/>
      </w:r>
    </w:p>
    <w:p>
      <w:pPr>
        <w:spacing w:before="0" w:after="120"/>
        <w:jc w:val="left"/>
      </w:pPr>
      <w:r>
        <w:rPr>
          <w:rFonts w:ascii="Calibri" w:hAnsi="Calibri"/>
          <w:b/>
          <w:color w:val="EB5F2A"/>
          <w:sz w:val="18"/>
        </w:rPr>
        <w:t>DIAPOSITIVE 07 SUR 21</w:t>
      </w:r>
    </w:p>
    <w:p>
      <w:pPr>
        <w:pStyle w:val="Heading1"/>
      </w:pPr>
      <w:r>
        <w:t>La logique du diagnostic</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Le questionnaire rend observables plusieurs familles de signaux et transforme les réponses en trois niveaux de vigilance compréhensibles.</w:t>
      </w:r>
    </w:p>
    <w:p>
      <w:pPr>
        <w:pStyle w:val="Heading2"/>
      </w:pPr>
      <w:r>
        <w:t>À afficher dans la diapositive</w:t>
      </w:r>
    </w:p>
    <w:p>
      <w:pPr>
        <w:pStyle w:val="ListBullet"/>
      </w:pPr>
      <w:r>
        <w:t>38 questions dans la version de référence.</w:t>
      </w:r>
    </w:p>
    <w:p>
      <w:pPr>
        <w:pStyle w:val="ListBullet"/>
      </w:pPr>
      <w:r>
        <w:t>6 catégories: respect et confiance, communication et contrôle, manipulation et isolement, violences psychologiques, violences physiques et sexuelles, cyberviolences.</w:t>
      </w:r>
    </w:p>
    <w:p>
      <w:pPr>
        <w:pStyle w:val="ListBullet"/>
      </w:pPr>
      <w:r>
        <w:t>Des options pondérées alimentent un score global et des scores par catégorie.</w:t>
      </w:r>
    </w:p>
    <w:tbl>
      <w:tblPr>
        <w:tblStyle w:val="TableGrid"/>
        <w:tblW w:type="dxa" w:w="9360"/>
        <w:jc w:val="left"/>
        <w:tblLayout w:type="fixed"/>
        <w:tblLook w:firstColumn="1" w:firstRow="1" w:lastColumn="0" w:lastRow="0" w:noHBand="0" w:noVBand="1" w:val="04A0"/>
        <w:tblInd w:w="120" w:type="dxa"/>
      </w:tblPr>
      <w:tblGrid>
        <w:gridCol w:w="3024"/>
        <w:gridCol w:w="1800"/>
        <w:gridCol w:w="4536"/>
      </w:tblGrid>
      <w:tr>
        <w:trPr>
          <w:tblHeader w:val="true"/>
        </w:trPr>
        <w:tc>
          <w:tcPr>
            <w:tcW w:type="dxa" w:w="3024"/>
            <w:shd w:fill="0F172A"/>
            <w:tcMar>
              <w:top w:w="80" w:type="dxa"/>
              <w:start w:w="120" w:type="dxa"/>
              <w:bottom w:w="80" w:type="dxa"/>
              <w:end w:w="120" w:type="dxa"/>
            </w:tcMar>
            <w:vAlign w:val="center"/>
          </w:tcPr>
          <w:p>
            <w:pPr>
              <w:spacing w:after="0"/>
              <w:jc w:val="left"/>
            </w:pPr>
            <w:r>
              <w:rPr>
                <w:rFonts w:ascii="Calibri" w:hAnsi="Calibri"/>
                <w:b/>
                <w:color w:val="FFFFFF"/>
                <w:sz w:val="19"/>
              </w:rPr>
              <w:t>Pourcentage du score maximal</w:t>
            </w:r>
          </w:p>
        </w:tc>
        <w:tc>
          <w:tcPr>
            <w:tcW w:type="dxa" w:w="1800"/>
            <w:shd w:fill="0F172A"/>
            <w:tcMar>
              <w:top w:w="80" w:type="dxa"/>
              <w:start w:w="120" w:type="dxa"/>
              <w:bottom w:w="80" w:type="dxa"/>
              <w:end w:w="120" w:type="dxa"/>
            </w:tcMar>
            <w:vAlign w:val="center"/>
          </w:tcPr>
          <w:p>
            <w:pPr>
              <w:spacing w:after="0"/>
              <w:jc w:val="left"/>
            </w:pPr>
            <w:r>
              <w:rPr>
                <w:rFonts w:ascii="Calibri" w:hAnsi="Calibri"/>
                <w:b/>
                <w:color w:val="FFFFFF"/>
                <w:sz w:val="19"/>
              </w:rPr>
              <w:t>Niveau</w:t>
            </w:r>
          </w:p>
        </w:tc>
        <w:tc>
          <w:tcPr>
            <w:tcW w:type="dxa" w:w="4536"/>
            <w:shd w:fill="0F172A"/>
            <w:tcMar>
              <w:top w:w="80" w:type="dxa"/>
              <w:start w:w="120" w:type="dxa"/>
              <w:bottom w:w="80" w:type="dxa"/>
              <w:end w:w="120" w:type="dxa"/>
            </w:tcMar>
            <w:vAlign w:val="center"/>
          </w:tcPr>
          <w:p>
            <w:pPr>
              <w:spacing w:after="0"/>
              <w:jc w:val="left"/>
            </w:pPr>
            <w:r>
              <w:rPr>
                <w:rFonts w:ascii="Calibri" w:hAnsi="Calibri"/>
                <w:b/>
                <w:color w:val="FFFFFF"/>
                <w:sz w:val="19"/>
              </w:rPr>
              <w:t>Message d’orientation</w:t>
            </w:r>
          </w:p>
        </w:tc>
      </w:tr>
      <w:tr>
        <w:tc>
          <w:tcPr>
            <w:tcW w:type="dxa" w:w="3024"/>
            <w:tcMar>
              <w:top w:w="80" w:type="dxa"/>
              <w:start w:w="120" w:type="dxa"/>
              <w:bottom w:w="80" w:type="dxa"/>
              <w:end w:w="120" w:type="dxa"/>
            </w:tcMar>
            <w:vAlign w:val="center"/>
          </w:tcPr>
          <w:p>
            <w:pPr>
              <w:spacing w:after="0" w:line="264" w:lineRule="auto"/>
              <w:jc w:val="left"/>
            </w:pPr>
            <w:r>
              <w:rPr>
                <w:rFonts w:ascii="Calibri" w:hAnsi="Calibri"/>
                <w:b/>
                <w:color w:val="0F172A"/>
                <w:sz w:val="19"/>
              </w:rPr>
              <w:t>0 à 25 %</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color w:val="0F172A"/>
                <w:sz w:val="19"/>
              </w:rPr>
              <w:t>Sain</w:t>
            </w:r>
          </w:p>
        </w:tc>
        <w:tc>
          <w:tcPr>
            <w:tcW w:type="dxa" w:w="4536"/>
            <w:tcMar>
              <w:top w:w="80" w:type="dxa"/>
              <w:start w:w="120" w:type="dxa"/>
              <w:bottom w:w="80" w:type="dxa"/>
              <w:end w:w="120" w:type="dxa"/>
            </w:tcMar>
            <w:vAlign w:val="center"/>
          </w:tcPr>
          <w:p>
            <w:pPr>
              <w:spacing w:after="0" w:line="264" w:lineRule="auto"/>
              <w:jc w:val="left"/>
            </w:pPr>
            <w:r>
              <w:rPr>
                <w:rFonts w:ascii="Calibri" w:hAnsi="Calibri"/>
                <w:b w:val="0"/>
                <w:color w:val="0F172A"/>
                <w:sz w:val="19"/>
              </w:rPr>
              <w:t>Valoriser le respect, la communication et la confiance</w:t>
            </w:r>
          </w:p>
        </w:tc>
      </w:tr>
      <w:tr>
        <w:tc>
          <w:tcPr>
            <w:tcW w:type="dxa" w:w="3024"/>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&gt; 25 à 60 %</w:t>
            </w:r>
          </w:p>
        </w:tc>
        <w:tc>
          <w:tcPr>
            <w:tcW w:type="dxa" w:w="1800"/>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Vigilance</w:t>
            </w:r>
          </w:p>
        </w:tc>
        <w:tc>
          <w:tcPr>
            <w:tcW w:type="dxa" w:w="4536"/>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Nommer les signaux, poser des limites, parler à une personne de confiance</w:t>
            </w:r>
          </w:p>
        </w:tc>
      </w:tr>
      <w:tr>
        <w:tc>
          <w:tcPr>
            <w:tcW w:type="dxa" w:w="3024"/>
            <w:tcMar>
              <w:top w:w="80" w:type="dxa"/>
              <w:start w:w="120" w:type="dxa"/>
              <w:bottom w:w="80" w:type="dxa"/>
              <w:end w:w="120" w:type="dxa"/>
            </w:tcMar>
            <w:vAlign w:val="center"/>
          </w:tcPr>
          <w:p>
            <w:pPr>
              <w:spacing w:after="0" w:line="264" w:lineRule="auto"/>
              <w:jc w:val="left"/>
            </w:pPr>
            <w:r>
              <w:rPr>
                <w:rFonts w:ascii="Calibri" w:hAnsi="Calibri"/>
                <w:b/>
                <w:color w:val="0F172A"/>
                <w:sz w:val="19"/>
              </w:rPr>
              <w:t>&gt; 60 %</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color w:val="0F172A"/>
                <w:sz w:val="19"/>
              </w:rPr>
              <w:t>Danger</w:t>
            </w:r>
          </w:p>
        </w:tc>
        <w:tc>
          <w:tcPr>
            <w:tcW w:type="dxa" w:w="4536"/>
            <w:tcMar>
              <w:top w:w="80" w:type="dxa"/>
              <w:start w:w="120" w:type="dxa"/>
              <w:bottom w:w="80" w:type="dxa"/>
              <w:end w:w="120" w:type="dxa"/>
            </w:tcMar>
            <w:vAlign w:val="center"/>
          </w:tcPr>
          <w:p>
            <w:pPr>
              <w:spacing w:after="0" w:line="264" w:lineRule="auto"/>
              <w:jc w:val="left"/>
            </w:pPr>
            <w:r>
              <w:rPr>
                <w:rFonts w:ascii="Calibri" w:hAnsi="Calibri"/>
                <w:b w:val="0"/>
                <w:color w:val="0F172A"/>
                <w:sz w:val="19"/>
              </w:rPr>
              <w:t>Prioriser la sécurité et demander une aide adaptée rapidement</w:t>
            </w:r>
          </w:p>
        </w:tc>
      </w:tr>
    </w:tbl>
    <w:p>
      <w:pPr>
        <w:spacing w:after="40"/>
      </w:pPr>
    </w:p>
    <w:p>
      <w:pPr>
        <w:pStyle w:val="Heading2"/>
      </w:pPr>
      <w:r>
        <w:t>Logique à expliquer</w:t>
      </w:r>
    </w:p>
    <w:p>
      <w:r>
        <w:t>Dans l’implémentation actuelle, le niveau est calculé en pourcentage du score maximal: jusqu’à 25 % pour une situation classée saine, au-dessus de 25 % et jusqu’à 60 % pour la vigilance, puis au-dessus de 60 % pour le danger. Les mêmes seuils sont utilisés pour les catégories.</w:t>
      </w:r>
    </w:p>
    <w:p>
      <w:r>
        <w:t>Ces seuils sont des règles de produit configurées pour l’orientation. Ils doivent être validés et régulièrement revus avec des spécialistes des violences basées sur le genre, de la santé mentale, du droit et de la prise en charge. Le résultat ne constitue ni un diagnostic médical ni une preuve juridique.</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Mettre l’accent sur la transparence de la règle et sur la gouvernance experte à mettre en place avec les partenaires.</w:t>
      </w:r>
    </w:p>
    <w:p>
      <w:pPr>
        <w:spacing w:before="80"/>
      </w:pPr>
      <w:r>
        <w:rPr>
          <w:rFonts w:ascii="Calibri" w:hAnsi="Calibri"/>
          <w:b/>
          <w:color w:val="EB5F2A"/>
          <w:sz w:val="17"/>
        </w:rPr>
        <w:t xml:space="preserve">VISUEL POWERPOINT RECOMMANDÉ  </w:t>
      </w:r>
      <w:r>
        <w:rPr>
          <w:rFonts w:ascii="Calibri" w:hAnsi="Calibri"/>
          <w:i/>
          <w:color w:val="64748B"/>
          <w:sz w:val="19"/>
        </w:rPr>
        <w:t>Une jauge en trois zones avec les seuils et les messages associés.</w:t>
      </w:r>
    </w:p>
    <w:p>
      <w:r>
        <w:br w:type="page"/>
      </w:r>
    </w:p>
    <w:p>
      <w:pPr>
        <w:spacing w:before="0" w:after="120"/>
        <w:jc w:val="left"/>
      </w:pPr>
      <w:r>
        <w:rPr>
          <w:rFonts w:ascii="Calibri" w:hAnsi="Calibri"/>
          <w:b/>
          <w:color w:val="EB5F2A"/>
          <w:sz w:val="18"/>
        </w:rPr>
        <w:t>DIAPOSITIVE 08 SUR 21</w:t>
      </w:r>
    </w:p>
    <w:p>
      <w:pPr>
        <w:pStyle w:val="Heading1"/>
      </w:pPr>
      <w:r>
        <w:t>Un résultat qui conduit à l’action</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La restitution ne se limite pas à un score: elle explique, distingue les catégories et propose des prochaines étapes.</w:t>
      </w:r>
    </w:p>
    <w:p>
      <w:pPr>
        <w:pStyle w:val="Heading2"/>
      </w:pPr>
      <w:r>
        <w:t>À afficher dans la diapositive</w:t>
      </w:r>
    </w:p>
    <w:p>
      <w:pPr>
        <w:pStyle w:val="ListBullet"/>
      </w:pPr>
      <w:r>
        <w:t>Niveau global et message contextualisé.</w:t>
      </w:r>
    </w:p>
    <w:p>
      <w:pPr>
        <w:pStyle w:val="ListBullet"/>
      </w:pPr>
      <w:r>
        <w:t>Détail des catégories pour comprendre les principaux signaux.</w:t>
      </w:r>
    </w:p>
    <w:p>
      <w:pPr>
        <w:pStyle w:val="ListBullet"/>
      </w:pPr>
      <w:r>
        <w:t>Accès direct aux ressources et au numéro d’urgence du pays.</w:t>
      </w:r>
    </w:p>
    <w:p>
      <w:pPr>
        <w:pStyle w:val="ListBullet"/>
      </w:pPr>
      <w:r>
        <w:t>Possibilité de générer et partager une image HD du résultat.</w:t>
      </w:r>
    </w:p>
    <w:p>
      <w:pPr>
        <w:pStyle w:val="ListBullet"/>
      </w:pPr>
      <w:r>
        <w:t>Historique personnel pour les comptes connectés.</w:t>
      </w:r>
    </w:p>
    <w:p>
      <w:pPr>
        <w:pStyle w:val="Heading2"/>
      </w:pPr>
      <w:r>
        <w:t>Logique à expliquer</w:t>
      </w:r>
    </w:p>
    <w:p>
      <w:r>
        <w:t>Le partage en image peut soutenir une discussion avec une personne de confiance ou une professionnelle, mais il doit rester entièrement volontaire. L’utilisateur doit être averti qu’une image enregistrée sur un téléphone peut être découverte par une personne violente.</w:t>
      </w:r>
    </w:p>
    <w:p>
      <w:r>
        <w:t>Le résultat doit utiliser un langage non culpabilisant, rappeler que la violence n’est jamais la faute de la personne qui la subit et éviter toute injonction qui pourrait augmenter le risque.</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Montrer la différence entre information et orientation. La plateforme aide à décider de la prochaine étape, mais elle ne décide jamais à la place de la personne.</w:t>
      </w:r>
    </w:p>
    <w:p>
      <w:pPr>
        <w:spacing w:before="80"/>
      </w:pPr>
      <w:r>
        <w:rPr>
          <w:rFonts w:ascii="Calibri" w:hAnsi="Calibri"/>
          <w:b/>
          <w:color w:val="EB5F2A"/>
          <w:sz w:val="17"/>
        </w:rPr>
        <w:t xml:space="preserve">VISUEL POWERPOINT RECOMMANDÉ  </w:t>
      </w:r>
      <w:r>
        <w:rPr>
          <w:rFonts w:ascii="Calibri" w:hAnsi="Calibri"/>
          <w:i/>
          <w:color w:val="64748B"/>
          <w:sz w:val="19"/>
        </w:rPr>
        <w:t>Un exemple de carte résultat avec trois blocs: niveau, catégories, actions.</w:t>
      </w:r>
    </w:p>
    <w:p>
      <w:r>
        <w:br w:type="page"/>
      </w:r>
    </w:p>
    <w:p>
      <w:pPr>
        <w:spacing w:before="0" w:after="120"/>
        <w:jc w:val="left"/>
      </w:pPr>
      <w:r>
        <w:rPr>
          <w:rFonts w:ascii="Calibri" w:hAnsi="Calibri"/>
          <w:b/>
          <w:color w:val="EB5F2A"/>
          <w:sz w:val="18"/>
        </w:rPr>
        <w:t>DIAPOSITIVE 09 SUR 21</w:t>
      </w:r>
    </w:p>
    <w:p>
      <w:pPr>
        <w:pStyle w:val="Heading1"/>
      </w:pPr>
      <w:r>
        <w:t>Une orientation locale et régionale</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L’utilité d’un diagnostic dépend de la qualité des solutions proposées immédiatement après.</w:t>
      </w:r>
    </w:p>
    <w:p>
      <w:pPr>
        <w:pStyle w:val="Heading2"/>
      </w:pPr>
      <w:r>
        <w:t>À afficher dans la diapositive</w:t>
      </w:r>
    </w:p>
    <w:p>
      <w:pPr>
        <w:pStyle w:val="ListBullet"/>
      </w:pPr>
      <w:r>
        <w:t>Ressources filtrées par pays et recherchables par nom ou type.</w:t>
      </w:r>
    </w:p>
    <w:p>
      <w:pPr>
        <w:pStyle w:val="ListBullet"/>
      </w:pPr>
      <w:r>
        <w:t>Associations, institutions, lignes d’écoute et services d’urgence.</w:t>
      </w:r>
    </w:p>
    <w:p>
      <w:pPr>
        <w:pStyle w:val="ListBullet"/>
      </w:pPr>
      <w:r>
        <w:t>Numéro d’urgence adapté au pays sélectionné.</w:t>
      </w:r>
    </w:p>
    <w:p>
      <w:pPr>
        <w:pStyle w:val="ListBullet"/>
      </w:pPr>
      <w:r>
        <w:t>Base actuellement structurée pour huit pays d’Afrique de l’Ouest dans la version de référence.</w:t>
      </w:r>
    </w:p>
    <w:p>
      <w:pPr>
        <w:pStyle w:val="Heading2"/>
      </w:pPr>
      <w:r>
        <w:t>Logique à expliquer</w:t>
      </w:r>
    </w:p>
    <w:p>
      <w:r>
        <w:t>Les ressources sont administrables et peuvent être enrichies sans modifier le code. La qualité de ce répertoire doit toutefois être gouvernée: vérification périodique des contacts, consentement des structures référencées, catégorisation des services, langues disponibles, horaires et critères d’accès.</w:t>
      </w:r>
    </w:p>
    <w:p>
      <w:r>
        <w:t>Un partenariat territorial peut financer précisément cette couche: cartographier les services, vérifier les coordonnées, formaliser les protocoles de référencement et suivre la capacité réelle des structures à recevoir les orientations.</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C’est ici qu’un partenaire local apporte une valeur irremplaçable: la technologie organise l’accès, mais seul un réseau de terrain garantit la pertinence des orientations.</w:t>
      </w:r>
    </w:p>
    <w:p>
      <w:pPr>
        <w:spacing w:before="80"/>
      </w:pPr>
      <w:r>
        <w:rPr>
          <w:rFonts w:ascii="Calibri" w:hAnsi="Calibri"/>
          <w:b/>
          <w:color w:val="EB5F2A"/>
          <w:sz w:val="17"/>
        </w:rPr>
        <w:t xml:space="preserve">VISUEL POWERPOINT RECOMMANDÉ  </w:t>
      </w:r>
      <w:r>
        <w:rPr>
          <w:rFonts w:ascii="Calibri" w:hAnsi="Calibri"/>
          <w:i/>
          <w:color w:val="64748B"/>
          <w:sz w:val="19"/>
        </w:rPr>
        <w:t>Carte de l’Afrique de l’Ouest avec les pays couverts et exemples de types de services.</w:t>
      </w:r>
    </w:p>
    <w:p>
      <w:r>
        <w:br w:type="page"/>
      </w:r>
    </w:p>
    <w:p>
      <w:pPr>
        <w:spacing w:before="0" w:after="120"/>
        <w:jc w:val="left"/>
      </w:pPr>
      <w:r>
        <w:rPr>
          <w:rFonts w:ascii="Calibri" w:hAnsi="Calibri"/>
          <w:b/>
          <w:color w:val="EB5F2A"/>
          <w:sz w:val="18"/>
        </w:rPr>
        <w:t>DIAPOSITIVE 10 SUR 21</w:t>
      </w:r>
    </w:p>
    <w:p>
      <w:pPr>
        <w:pStyle w:val="Heading1"/>
      </w:pPr>
      <w:r>
        <w:t>Confidentialité et sécurité: une exigence de conception</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Dans un contexte de violence, la sécurité numérique est une fonction essentielle, pas une option de communication.</w:t>
      </w:r>
    </w:p>
    <w:p>
      <w:pPr>
        <w:pStyle w:val="Heading2"/>
      </w:pPr>
      <w:r>
        <w:t>À afficher dans la diapositive</w:t>
      </w:r>
    </w:p>
    <w:p>
      <w:pPr>
        <w:pStyle w:val="ListBullet"/>
      </w:pPr>
      <w:r>
        <w:t>Diagnostic possible sans création de compte.</w:t>
      </w:r>
    </w:p>
    <w:p>
      <w:pPr>
        <w:pStyle w:val="ListBullet"/>
      </w:pPr>
      <w:r>
        <w:t>Mode discret, sortie rapide et reprise locale du questionnaire.</w:t>
      </w:r>
    </w:p>
    <w:p>
      <w:pPr>
        <w:pStyle w:val="ListBullet"/>
      </w:pPr>
      <w:r>
        <w:t>Sessions techniques pseudonymes pour mesurer le parcours.</w:t>
      </w:r>
    </w:p>
    <w:p>
      <w:pPr>
        <w:pStyle w:val="ListBullet"/>
      </w:pPr>
      <w:r>
        <w:t>Accès administratifs modulaires et comptes désactivables.</w:t>
      </w:r>
    </w:p>
    <w:p>
      <w:pPr>
        <w:pStyle w:val="ListBullet"/>
      </w:pPr>
      <w:r>
        <w:t>Gouvernance à formaliser: minimisation, durée de conservation, habilitations, chiffrement, incidents et consentement.</w:t>
      </w:r>
    </w:p>
    <w:p>
      <w:pPr>
        <w:pStyle w:val="Heading2"/>
      </w:pPr>
      <w:r>
        <w:t>Logique à expliquer</w:t>
      </w:r>
    </w:p>
    <w:p>
      <w:r>
        <w:t>Le terme « anonyme » doit être utilisé avec précision. Une personne peut réaliser le diagnostic sans identité déclarée, mais la plateforme collecte des événements techniques nécessaires au pilotage, par exemple un identifiant de session, le type d’appareil, le navigateur, la provenance de campagne et, selon la configuration serveur, des informations réseau ou de localisation approximative.</w:t>
      </w:r>
    </w:p>
    <w:p>
      <w:r>
        <w:t>Avant un déploiement à grande échelle, la LNDF et ses partenaires doivent adopter une politique de protection des données, une analyse d’impact, des durées de conservation, des procédures d’accès et de suppression, ainsi qu’un protocole de réponse aux incidents adapté aux données sensibles.</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Présenter ce point comme un engagement de sérieux. Ne jamais promettre une anonymisation absolue tant que l’audit technique et juridique n’est pas finalisé.</w:t>
      </w:r>
    </w:p>
    <w:p>
      <w:pPr>
        <w:spacing w:before="80"/>
      </w:pPr>
      <w:r>
        <w:rPr>
          <w:rFonts w:ascii="Calibri" w:hAnsi="Calibri"/>
          <w:b/>
          <w:color w:val="EB5F2A"/>
          <w:sz w:val="17"/>
        </w:rPr>
        <w:t xml:space="preserve">VISUEL POWERPOINT RECOMMANDÉ  </w:t>
      </w:r>
      <w:r>
        <w:rPr>
          <w:rFonts w:ascii="Calibri" w:hAnsi="Calibri"/>
          <w:i/>
          <w:color w:val="64748B"/>
          <w:sz w:val="19"/>
        </w:rPr>
        <w:t>Un bouclier entouré de cinq principes: minimiser, expliquer, protéger, limiter, supprimer.</w:t>
      </w:r>
    </w:p>
    <w:p>
      <w:r>
        <w:br w:type="page"/>
      </w:r>
    </w:p>
    <w:p>
      <w:pPr>
        <w:spacing w:before="0" w:after="120"/>
        <w:jc w:val="left"/>
      </w:pPr>
      <w:r>
        <w:rPr>
          <w:rFonts w:ascii="Calibri" w:hAnsi="Calibri"/>
          <w:b/>
          <w:color w:val="EB5F2A"/>
          <w:sz w:val="18"/>
        </w:rPr>
        <w:t>DIAPOSITIVE 11 SUR 21</w:t>
      </w:r>
    </w:p>
    <w:p>
      <w:pPr>
        <w:pStyle w:val="Heading1"/>
      </w:pPr>
      <w:r>
        <w:t>Le tableau de bord personnel</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La création d’un compte reste facultative et apporte une continuité à celles et ceux qui souhaitent suivre leur activité.</w:t>
      </w:r>
    </w:p>
    <w:p>
      <w:pPr>
        <w:pStyle w:val="Heading2"/>
      </w:pPr>
      <w:r>
        <w:t>À afficher dans la diapositive</w:t>
      </w:r>
    </w:p>
    <w:p>
      <w:pPr>
        <w:pStyle w:val="ListBullet"/>
      </w:pPr>
      <w:r>
        <w:t>Nombre de diagnostics terminés et de tentatives.</w:t>
      </w:r>
    </w:p>
    <w:p>
      <w:pPr>
        <w:pStyle w:val="ListBullet"/>
      </w:pPr>
      <w:r>
        <w:t>Historique récent avec niveau et score.</w:t>
      </w:r>
    </w:p>
    <w:p>
      <w:pPr>
        <w:pStyle w:val="ListBullet"/>
      </w:pPr>
      <w:r>
        <w:t>Accès rapide à un nouveau diagnostic.</w:t>
      </w:r>
    </w:p>
    <w:p>
      <w:pPr>
        <w:pStyle w:val="ListBullet"/>
      </w:pPr>
      <w:r>
        <w:t>Gestion du nom d’affichage et du mot de passe.</w:t>
      </w:r>
    </w:p>
    <w:p>
      <w:pPr>
        <w:pStyle w:val="Heading2"/>
      </w:pPr>
      <w:r>
        <w:t>Logique à expliquer</w:t>
      </w:r>
    </w:p>
    <w:p>
      <w:r>
        <w:t>Les utilisateurs inscrits disposent uniquement de leur tableau de bord personnel et n’accèdent jamais à l’administration. Les comptes administratifs sont créés séparément par un super administrateur.</w:t>
      </w:r>
    </w:p>
    <w:p>
      <w:r>
        <w:t>Pour un déploiement sensible, le partenaire peut contribuer à améliorer cette fonction: pseudonymes, suppression autonome du compte, export des données, alertes de sécurité, réauthentification et masquage renforcé de l’historique.</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Préciser que l’inscription n’est pas nécessaire pour être aidé. Elle sert uniquement à la continuité d’usage lorsque la personne la choisit.</w:t>
      </w:r>
    </w:p>
    <w:p>
      <w:pPr>
        <w:spacing w:before="80"/>
      </w:pPr>
      <w:r>
        <w:rPr>
          <w:rFonts w:ascii="Calibri" w:hAnsi="Calibri"/>
          <w:b/>
          <w:color w:val="EB5F2A"/>
          <w:sz w:val="17"/>
        </w:rPr>
        <w:t xml:space="preserve">VISUEL POWERPOINT RECOMMANDÉ  </w:t>
      </w:r>
      <w:r>
        <w:rPr>
          <w:rFonts w:ascii="Calibri" w:hAnsi="Calibri"/>
          <w:i/>
          <w:color w:val="64748B"/>
          <w:sz w:val="19"/>
        </w:rPr>
        <w:t>Capture du tableau de bord avec trois indicateurs et la liste des résultats récents.</w:t>
      </w:r>
    </w:p>
    <w:p>
      <w:r>
        <w:br w:type="page"/>
      </w:r>
    </w:p>
    <w:p>
      <w:pPr>
        <w:spacing w:before="0" w:after="120"/>
        <w:jc w:val="left"/>
      </w:pPr>
      <w:r>
        <w:rPr>
          <w:rFonts w:ascii="Calibri" w:hAnsi="Calibri"/>
          <w:b/>
          <w:color w:val="EB5F2A"/>
          <w:sz w:val="18"/>
        </w:rPr>
        <w:t>DIAPOSITIVE 12 SUR 21</w:t>
      </w:r>
    </w:p>
    <w:p>
      <w:pPr>
        <w:pStyle w:val="Heading1"/>
      </w:pPr>
      <w:r>
        <w:t>Une administration modulaire pour les équipes</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Chaque administrateur ne voit que les fonctions nécessaires à sa mission.</w:t>
      </w:r>
    </w:p>
    <w:p>
      <w:pPr>
        <w:pStyle w:val="Heading2"/>
      </w:pPr>
      <w:r>
        <w:t>À afficher dans la diapositive</w:t>
      </w:r>
    </w:p>
    <w:p>
      <w:pPr>
        <w:pStyle w:val="ListBullet"/>
      </w:pPr>
      <w:r>
        <w:t>Statistiques et résultats agrégés.</w:t>
      </w:r>
    </w:p>
    <w:p>
      <w:pPr>
        <w:pStyle w:val="ListBullet"/>
      </w:pPr>
      <w:r>
        <w:t>Création et gestion des diagnostics.</w:t>
      </w:r>
    </w:p>
    <w:p>
      <w:pPr>
        <w:pStyle w:val="ListBullet"/>
      </w:pPr>
      <w:r>
        <w:t>Gestion des comptes utilisateurs.</w:t>
      </w:r>
    </w:p>
    <w:p>
      <w:pPr>
        <w:pStyle w:val="ListBullet"/>
      </w:pPr>
      <w:r>
        <w:t>Logs et tracking des parcours.</w:t>
      </w:r>
    </w:p>
    <w:p>
      <w:pPr>
        <w:pStyle w:val="ListBullet"/>
      </w:pPr>
      <w:r>
        <w:t>Ressources d’aide par pays.</w:t>
      </w:r>
    </w:p>
    <w:p>
      <w:pPr>
        <w:pStyle w:val="ListBullet"/>
      </w:pPr>
      <w:r>
        <w:t>Configuration du site, du logo et des notifications SMTP.</w:t>
      </w:r>
    </w:p>
    <w:p>
      <w:pPr>
        <w:pStyle w:val="Heading2"/>
      </w:pPr>
      <w:r>
        <w:t>Logique à expliquer</w:t>
      </w:r>
    </w:p>
    <w:p>
      <w:r>
        <w:t>Le super administrateur crée les comptes administratifs, sélectionne leurs modules et peut les désactiver. Le menu est filtré et les contrôles sont répétés côté serveur et dans les API, afin qu’une URL directe ne contourne pas les permissions.</w:t>
      </w:r>
    </w:p>
    <w:p>
      <w:r>
        <w:t>Cette modularité facilite la séparation des responsabilités: une personne peut gérer le répertoire d’aide sans accéder aux logs; une autre peut suivre les statistiques sans modifier les questionnaires; la configuration sensible peut rester réservée à un nombre limité de responsables.</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Relier les modules aux rôles des partenaires: programme, suivi-évaluation, communication, sécurité, réseau de référencement et administration technique.</w:t>
      </w:r>
    </w:p>
    <w:p>
      <w:pPr>
        <w:spacing w:before="80"/>
      </w:pPr>
      <w:r>
        <w:rPr>
          <w:rFonts w:ascii="Calibri" w:hAnsi="Calibri"/>
          <w:b/>
          <w:color w:val="EB5F2A"/>
          <w:sz w:val="17"/>
        </w:rPr>
        <w:t xml:space="preserve">VISUEL POWERPOINT RECOMMANDÉ  </w:t>
      </w:r>
      <w:r>
        <w:rPr>
          <w:rFonts w:ascii="Calibri" w:hAnsi="Calibri"/>
          <w:i/>
          <w:color w:val="64748B"/>
          <w:sz w:val="19"/>
        </w:rPr>
        <w:t>Une matrice simple « rôle / modules autorisés ».</w:t>
      </w:r>
    </w:p>
    <w:p>
      <w:r>
        <w:br w:type="page"/>
      </w:r>
    </w:p>
    <w:p>
      <w:pPr>
        <w:spacing w:before="0" w:after="120"/>
        <w:jc w:val="left"/>
      </w:pPr>
      <w:r>
        <w:rPr>
          <w:rFonts w:ascii="Calibri" w:hAnsi="Calibri"/>
          <w:b/>
          <w:color w:val="EB5F2A"/>
          <w:sz w:val="18"/>
        </w:rPr>
        <w:t>DIAPOSITIVE 13 SUR 21</w:t>
      </w:r>
    </w:p>
    <w:p>
      <w:pPr>
        <w:pStyle w:val="Heading1"/>
      </w:pPr>
      <w:r>
        <w:t>Mesurer pour améliorer, pas pour surveiller</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Les données de parcours permettent de comprendre l’usage et l’impact opérationnel tout en imposant une stricte minimisation des données sensibles.</w:t>
      </w:r>
    </w:p>
    <w:p>
      <w:pPr>
        <w:pStyle w:val="Heading2"/>
      </w:pPr>
      <w:r>
        <w:t>À afficher dans la diapositive</w:t>
      </w:r>
    </w:p>
    <w:p>
      <w:pPr>
        <w:pStyle w:val="ListBullet"/>
      </w:pPr>
      <w:r>
        <w:t>Diagnostics commencés, terminés et taux d’abandon.</w:t>
      </w:r>
    </w:p>
    <w:p>
      <w:pPr>
        <w:pStyle w:val="ListBullet"/>
      </w:pPr>
      <w:r>
        <w:t>Durée moyenne, progression et résultats par niveau.</w:t>
      </w:r>
    </w:p>
    <w:p>
      <w:pPr>
        <w:pStyle w:val="ListBullet"/>
      </w:pPr>
      <w:r>
        <w:t>Part des diagnostics réalisés sans compte.</w:t>
      </w:r>
    </w:p>
    <w:p>
      <w:pPr>
        <w:pStyle w:val="ListBullet"/>
      </w:pPr>
      <w:r>
        <w:t>Sources de trafic, campagnes UTM, appareils et pages consultées.</w:t>
      </w:r>
    </w:p>
    <w:p>
      <w:pPr>
        <w:pStyle w:val="ListBullet"/>
      </w:pPr>
      <w:r>
        <w:t>Partages et téléchargements d’images de résultat.</w:t>
      </w:r>
    </w:p>
    <w:p>
      <w:pPr>
        <w:pStyle w:val="Heading2"/>
      </w:pPr>
      <w:r>
        <w:t>Logique à expliquer</w:t>
      </w:r>
    </w:p>
    <w:p>
      <w:r>
        <w:t>Ces indicateurs répondent à des questions de programme: une campagne conduit-elle au diagnostic? Où les personnes abandonnent-elles? Quel questionnaire est le plus utilisé? Les résultats mènent-ils vers les ressources? Les usages mobiles nécessitent-ils une adaptation particulière?</w:t>
      </w:r>
    </w:p>
    <w:p>
      <w:r>
        <w:t>La plateforme ne mesure pas encore automatiquement la qualité de la prise en charge après orientation. Cette dimension doit être construite avec les partenaires, au moyen d’indicateurs prudents et, lorsque nécessaire, d’un consentement distinct.</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Faire la distinction entre indicateurs d’activité, de résultat immédiat et d’impact à long terme. Ne pas confondre un diagnostic terminé avec une personne effectivement prise en charge.</w:t>
      </w:r>
    </w:p>
    <w:p>
      <w:pPr>
        <w:spacing w:before="80"/>
      </w:pPr>
      <w:r>
        <w:rPr>
          <w:rFonts w:ascii="Calibri" w:hAnsi="Calibri"/>
          <w:b/>
          <w:color w:val="EB5F2A"/>
          <w:sz w:val="17"/>
        </w:rPr>
        <w:t xml:space="preserve">VISUEL POWERPOINT RECOMMANDÉ  </w:t>
      </w:r>
      <w:r>
        <w:rPr>
          <w:rFonts w:ascii="Calibri" w:hAnsi="Calibri"/>
          <w:i/>
          <w:color w:val="64748B"/>
          <w:sz w:val="19"/>
        </w:rPr>
        <w:t>Un entonnoir: visite, démarrage, progression, résultat, consultation d’une ressource, orientation confirmée.</w:t>
      </w:r>
    </w:p>
    <w:p>
      <w:r>
        <w:br w:type="page"/>
      </w:r>
    </w:p>
    <w:p>
      <w:pPr>
        <w:spacing w:before="0" w:after="120"/>
        <w:jc w:val="left"/>
      </w:pPr>
      <w:r>
        <w:rPr>
          <w:rFonts w:ascii="Calibri" w:hAnsi="Calibri"/>
          <w:b/>
          <w:color w:val="EB5F2A"/>
          <w:sz w:val="18"/>
        </w:rPr>
        <w:t>DIAPOSITIVE 14 SUR 21</w:t>
      </w:r>
    </w:p>
    <w:p>
      <w:pPr>
        <w:pStyle w:val="Heading1"/>
      </w:pPr>
      <w:r>
        <w:t>Ce que la plateforme apporte aux partenaires</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Un partenariat transforme un outil numérique en dispositif territorial fiable, mesurable et durable.</w:t>
      </w:r>
    </w:p>
    <w:p>
      <w:pPr>
        <w:pStyle w:val="Heading2"/>
      </w:pPr>
      <w:r>
        <w:t>À afficher dans la diapositive</w:t>
      </w:r>
    </w:p>
    <w:p>
      <w:pPr>
        <w:pStyle w:val="ListBullet"/>
      </w:pPr>
      <w:r>
        <w:t>Un canal de prévention disponible à grande échelle.</w:t>
      </w:r>
    </w:p>
    <w:p>
      <w:pPr>
        <w:pStyle w:val="ListBullet"/>
      </w:pPr>
      <w:r>
        <w:t>Une porte d’entrée vers les services existants.</w:t>
      </w:r>
    </w:p>
    <w:p>
      <w:pPr>
        <w:pStyle w:val="ListBullet"/>
      </w:pPr>
      <w:r>
        <w:t>Des indicateurs partagés pour piloter les campagnes.</w:t>
      </w:r>
    </w:p>
    <w:p>
      <w:pPr>
        <w:pStyle w:val="ListBullet"/>
      </w:pPr>
      <w:r>
        <w:t>Une infrastructure adaptable à plusieurs territoires et programmes.</w:t>
      </w:r>
    </w:p>
    <w:p>
      <w:pPr>
        <w:pStyle w:val="ListBullet"/>
      </w:pPr>
      <w:r>
        <w:t>Une visibilité concrète des contributions du partenaire, sans exposer les bénéficiaires.</w:t>
      </w:r>
    </w:p>
    <w:p>
      <w:pPr>
        <w:pStyle w:val="Heading2"/>
      </w:pPr>
      <w:r>
        <w:t>Logique à expliquer</w:t>
      </w:r>
    </w:p>
    <w:p>
      <w:r>
        <w:t>Le partenaire ne finance pas seulement un site. Il contribue à un système composé de contenus validés, d’un réseau de référencement, d’une gouvernance de données, d’une capacité de suivi et d’une amélioration continue.</w:t>
      </w:r>
    </w:p>
    <w:p>
      <w:r>
        <w:t>Selon son mandat, il peut soutenir la traduction, l’accessibilité, la cartographie des services, l’hébergement sécurisé, la communication, la formation des équipes, la recherche, l’évaluation ou le passage à l’échelle régional.</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Adapter cette diapositive à chaque interlocuteur: institution publique, agence des Nations Unies, fondation, entreprise, opérateur télécom ou organisation de terrain.</w:t>
      </w:r>
    </w:p>
    <w:p>
      <w:pPr>
        <w:spacing w:before="80"/>
      </w:pPr>
      <w:r>
        <w:rPr>
          <w:rFonts w:ascii="Calibri" w:hAnsi="Calibri"/>
          <w:b/>
          <w:color w:val="EB5F2A"/>
          <w:sz w:val="17"/>
        </w:rPr>
        <w:t xml:space="preserve">VISUEL POWERPOINT RECOMMANDÉ  </w:t>
      </w:r>
      <w:r>
        <w:rPr>
          <w:rFonts w:ascii="Calibri" w:hAnsi="Calibri"/>
          <w:i/>
          <w:color w:val="64748B"/>
          <w:sz w:val="19"/>
        </w:rPr>
        <w:t>Une colonne « contribution partenaire » reliée à trois résultats: accès, orientation, apprentissage.</w:t>
      </w:r>
    </w:p>
    <w:p>
      <w:r>
        <w:br w:type="page"/>
      </w:r>
    </w:p>
    <w:p>
      <w:pPr>
        <w:spacing w:before="0" w:after="120"/>
        <w:jc w:val="left"/>
      </w:pPr>
      <w:r>
        <w:rPr>
          <w:rFonts w:ascii="Calibri" w:hAnsi="Calibri"/>
          <w:b/>
          <w:color w:val="EB5F2A"/>
          <w:sz w:val="18"/>
        </w:rPr>
        <w:t>DIAPOSITIVE 15 SUR 21</w:t>
      </w:r>
    </w:p>
    <w:p>
      <w:pPr>
        <w:pStyle w:val="Heading1"/>
      </w:pPr>
      <w:r>
        <w:t>Pourquoi cette approche est différenciante</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ALERTE VIOLENCE combine des fonctions généralement dispersées: repérage, restitution, orientation locale, partage, administration et mesure.</w:t>
      </w:r>
    </w:p>
    <w:p>
      <w:pPr>
        <w:pStyle w:val="Heading2"/>
      </w:pPr>
      <w:r>
        <w:t>À afficher dans la diapositive</w:t>
      </w:r>
    </w:p>
    <w:p>
      <w:pPr>
        <w:pStyle w:val="ListBullet"/>
      </w:pPr>
      <w:r>
        <w:t>Parcours possible sans compte et conçu pour être repris.</w:t>
      </w:r>
    </w:p>
    <w:p>
      <w:pPr>
        <w:pStyle w:val="ListBullet"/>
      </w:pPr>
      <w:r>
        <w:t>Mode pour soi-même ou pour un proche.</w:t>
      </w:r>
    </w:p>
    <w:p>
      <w:pPr>
        <w:pStyle w:val="ListBullet"/>
      </w:pPr>
      <w:r>
        <w:t>Questionnaires administrables et versionnables.</w:t>
      </w:r>
    </w:p>
    <w:p>
      <w:pPr>
        <w:pStyle w:val="ListBullet"/>
      </w:pPr>
      <w:r>
        <w:t>Résultats globaux et par catégorie.</w:t>
      </w:r>
    </w:p>
    <w:p>
      <w:pPr>
        <w:pStyle w:val="ListBullet"/>
      </w:pPr>
      <w:r>
        <w:t>Répertoire régional administrable.</w:t>
      </w:r>
    </w:p>
    <w:p>
      <w:pPr>
        <w:pStyle w:val="ListBullet"/>
      </w:pPr>
      <w:r>
        <w:t>Pilotage analytique par diagnostic et par campagne.</w:t>
      </w:r>
    </w:p>
    <w:p>
      <w:pPr>
        <w:pStyle w:val="Heading2"/>
      </w:pPr>
      <w:r>
        <w:t>Logique à expliquer</w:t>
      </w:r>
    </w:p>
    <w:p>
      <w:r>
        <w:t>La différenciation ne doit pas être formulée comme une exclusivité non vérifiée. Elle repose sur l’intégration de ces briques et sur l’ancrage de la LNDF dans les droits des femmes et l’accompagnement des survivantes.</w:t>
      </w:r>
    </w:p>
    <w:p>
      <w:r>
        <w:t>L’avantage durable viendra de la qualité des contenus, de la confiance, du réseau d’orientation, de la sécurité et des preuves d’impact, davantage que de la seule technologie.</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Parler d’ambition pionnière et de complémentarité avec les solutions existantes. Éviter l’affirmation « première plateforme » sans étude comparative indépendante.</w:t>
      </w:r>
    </w:p>
    <w:p>
      <w:pPr>
        <w:spacing w:before="80"/>
      </w:pPr>
      <w:r>
        <w:rPr>
          <w:rFonts w:ascii="Calibri" w:hAnsi="Calibri"/>
          <w:b/>
          <w:color w:val="EB5F2A"/>
          <w:sz w:val="17"/>
        </w:rPr>
        <w:t xml:space="preserve">VISUEL POWERPOINT RECOMMANDÉ  </w:t>
      </w:r>
      <w:r>
        <w:rPr>
          <w:rFonts w:ascii="Calibri" w:hAnsi="Calibri"/>
          <w:i/>
          <w:color w:val="64748B"/>
          <w:sz w:val="19"/>
        </w:rPr>
        <w:t>Une comparaison par briques fonctionnelles, sans nommer de concurrents.</w:t>
      </w:r>
    </w:p>
    <w:p>
      <w:r>
        <w:br w:type="page"/>
      </w:r>
    </w:p>
    <w:p>
      <w:pPr>
        <w:spacing w:before="0" w:after="120"/>
        <w:jc w:val="left"/>
      </w:pPr>
      <w:r>
        <w:rPr>
          <w:rFonts w:ascii="Calibri" w:hAnsi="Calibri"/>
          <w:b/>
          <w:color w:val="EB5F2A"/>
          <w:sz w:val="18"/>
        </w:rPr>
        <w:t>DIAPOSITIVE 16 SUR 21</w:t>
      </w:r>
    </w:p>
    <w:p>
      <w:pPr>
        <w:pStyle w:val="Heading1"/>
      </w:pPr>
      <w:r>
        <w:t>Un modèle de partenariat clair</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La LNDF porte la vision et l’ancrage; les partenaires renforcent l’expertise, le réseau, la sécurité, la mesure et le passage à l’échelle.</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shd w:fill="0F172A"/>
            <w:tcMar>
              <w:top w:w="80" w:type="dxa"/>
              <w:start w:w="120" w:type="dxa"/>
              <w:bottom w:w="80" w:type="dxa"/>
              <w:end w:w="120" w:type="dxa"/>
            </w:tcMar>
            <w:vAlign w:val="center"/>
          </w:tcPr>
          <w:p>
            <w:pPr>
              <w:spacing w:after="0"/>
              <w:jc w:val="left"/>
            </w:pPr>
            <w:r>
              <w:rPr>
                <w:rFonts w:ascii="Calibri" w:hAnsi="Calibri"/>
                <w:b/>
                <w:color w:val="FFFFFF"/>
                <w:sz w:val="19"/>
              </w:rPr>
              <w:t>Acteur</w:t>
            </w:r>
          </w:p>
        </w:tc>
        <w:tc>
          <w:tcPr>
            <w:tcW w:type="dxa" w:w="6840"/>
            <w:shd w:fill="0F172A"/>
            <w:tcMar>
              <w:top w:w="80" w:type="dxa"/>
              <w:start w:w="120" w:type="dxa"/>
              <w:bottom w:w="80" w:type="dxa"/>
              <w:end w:w="120" w:type="dxa"/>
            </w:tcMar>
            <w:vAlign w:val="center"/>
          </w:tcPr>
          <w:p>
            <w:pPr>
              <w:spacing w:after="0"/>
              <w:jc w:val="left"/>
            </w:pPr>
            <w:r>
              <w:rPr>
                <w:rFonts w:ascii="Calibri" w:hAnsi="Calibri"/>
                <w:b/>
                <w:color w:val="FFFFFF"/>
                <w:sz w:val="19"/>
              </w:rPr>
              <w:t>Responsabilités principales</w:t>
            </w:r>
          </w:p>
        </w:tc>
      </w:tr>
      <w:tr>
        <w:tc>
          <w:tcPr>
            <w:tcW w:type="dxa" w:w="2520"/>
            <w:tcMar>
              <w:top w:w="80" w:type="dxa"/>
              <w:start w:w="120" w:type="dxa"/>
              <w:bottom w:w="80" w:type="dxa"/>
              <w:end w:w="120" w:type="dxa"/>
            </w:tcMar>
            <w:vAlign w:val="center"/>
          </w:tcPr>
          <w:p>
            <w:pPr>
              <w:spacing w:after="0" w:line="264" w:lineRule="auto"/>
              <w:jc w:val="left"/>
            </w:pPr>
            <w:r>
              <w:rPr>
                <w:rFonts w:ascii="Calibri" w:hAnsi="Calibri"/>
                <w:b/>
                <w:color w:val="0F172A"/>
                <w:sz w:val="19"/>
              </w:rPr>
              <w:t>LNDF</w:t>
            </w:r>
          </w:p>
        </w:tc>
        <w:tc>
          <w:tcPr>
            <w:tcW w:type="dxa" w:w="6840"/>
            <w:tcMar>
              <w:top w:w="80" w:type="dxa"/>
              <w:start w:w="120" w:type="dxa"/>
              <w:bottom w:w="80" w:type="dxa"/>
              <w:end w:w="120" w:type="dxa"/>
            </w:tcMar>
            <w:vAlign w:val="center"/>
          </w:tcPr>
          <w:p>
            <w:pPr>
              <w:spacing w:after="0" w:line="264" w:lineRule="auto"/>
              <w:jc w:val="left"/>
            </w:pPr>
            <w:r>
              <w:rPr>
                <w:rFonts w:ascii="Calibri" w:hAnsi="Calibri"/>
                <w:b w:val="0"/>
                <w:color w:val="0F172A"/>
                <w:sz w:val="19"/>
              </w:rPr>
              <w:t>Vision, contenus, animation communautaire, coordination et redevabilité</w:t>
            </w:r>
          </w:p>
        </w:tc>
      </w:tr>
      <w:tr>
        <w:tc>
          <w:tcPr>
            <w:tcW w:type="dxa" w:w="2520"/>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Partenaires techniques</w:t>
            </w:r>
          </w:p>
        </w:tc>
        <w:tc>
          <w:tcPr>
            <w:tcW w:type="dxa" w:w="6840"/>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Expertise VBG, sécurité, données, accessibilité, recherche et évaluation</w:t>
            </w:r>
          </w:p>
        </w:tc>
      </w:tr>
      <w:tr>
        <w:tc>
          <w:tcPr>
            <w:tcW w:type="dxa" w:w="2520"/>
            <w:tcMar>
              <w:top w:w="80" w:type="dxa"/>
              <w:start w:w="120" w:type="dxa"/>
              <w:bottom w:w="80" w:type="dxa"/>
              <w:end w:w="120" w:type="dxa"/>
            </w:tcMar>
            <w:vAlign w:val="center"/>
          </w:tcPr>
          <w:p>
            <w:pPr>
              <w:spacing w:after="0" w:line="264" w:lineRule="auto"/>
              <w:jc w:val="left"/>
            </w:pPr>
            <w:r>
              <w:rPr>
                <w:rFonts w:ascii="Calibri" w:hAnsi="Calibri"/>
                <w:b/>
                <w:color w:val="0F172A"/>
                <w:sz w:val="19"/>
              </w:rPr>
              <w:t>Structures d’aide</w:t>
            </w:r>
          </w:p>
        </w:tc>
        <w:tc>
          <w:tcPr>
            <w:tcW w:type="dxa" w:w="6840"/>
            <w:tcMar>
              <w:top w:w="80" w:type="dxa"/>
              <w:start w:w="120" w:type="dxa"/>
              <w:bottom w:w="80" w:type="dxa"/>
              <w:end w:w="120" w:type="dxa"/>
            </w:tcMar>
            <w:vAlign w:val="center"/>
          </w:tcPr>
          <w:p>
            <w:pPr>
              <w:spacing w:after="0" w:line="264" w:lineRule="auto"/>
              <w:jc w:val="left"/>
            </w:pPr>
            <w:r>
              <w:rPr>
                <w:rFonts w:ascii="Calibri" w:hAnsi="Calibri"/>
                <w:b w:val="0"/>
                <w:color w:val="0F172A"/>
                <w:sz w:val="19"/>
              </w:rPr>
              <w:t>Validation des contacts, protocoles d’orientation et retour sur la capacité de prise en charge</w:t>
            </w:r>
          </w:p>
        </w:tc>
      </w:tr>
      <w:tr>
        <w:tc>
          <w:tcPr>
            <w:tcW w:type="dxa" w:w="2520"/>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Partenaires financiers</w:t>
            </w:r>
          </w:p>
        </w:tc>
        <w:tc>
          <w:tcPr>
            <w:tcW w:type="dxa" w:w="6840"/>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Financement du pilote, du déploiement, de la maintenance et de l’évaluation</w:t>
            </w:r>
          </w:p>
        </w:tc>
      </w:tr>
    </w:tbl>
    <w:p>
      <w:pPr>
        <w:spacing w:after="40"/>
      </w:pPr>
    </w:p>
    <w:p>
      <w:pPr>
        <w:pStyle w:val="Heading2"/>
      </w:pPr>
      <w:r>
        <w:t>Logique à expliquer</w:t>
      </w:r>
    </w:p>
    <w:p>
      <w:r>
        <w:t>La gouvernance proposée repose sur un comité de pilotage, un comité de validation des contenus et un référent protection des données. Les décisions sur les seuils, messages d’urgence, ressources et indicateurs sensibles doivent être documentées.</w:t>
      </w:r>
    </w:p>
    <w:p>
      <w:r>
        <w:t>Les partenaires doivent recevoir des rapports agrégés et des livrables définis, sans accès par défaut aux réponses individuelles. Toute utilisation secondaire des données nécessite une base légale, une finalité claire et des garanties spécifiques.</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Présenter le partenariat comme une responsabilité partagée avec des limites claires d’accès aux données.</w:t>
      </w:r>
    </w:p>
    <w:p>
      <w:pPr>
        <w:spacing w:before="80"/>
      </w:pPr>
      <w:r>
        <w:rPr>
          <w:rFonts w:ascii="Calibri" w:hAnsi="Calibri"/>
          <w:b/>
          <w:color w:val="EB5F2A"/>
          <w:sz w:val="17"/>
        </w:rPr>
        <w:t xml:space="preserve">VISUEL POWERPOINT RECOMMANDÉ  </w:t>
      </w:r>
      <w:r>
        <w:rPr>
          <w:rFonts w:ascii="Calibri" w:hAnsi="Calibri"/>
          <w:i/>
          <w:color w:val="64748B"/>
          <w:sz w:val="19"/>
        </w:rPr>
        <w:t>Tableau des rôles ou schéma de gouvernance à trois niveaux.</w:t>
      </w:r>
    </w:p>
    <w:p>
      <w:r>
        <w:br w:type="page"/>
      </w:r>
    </w:p>
    <w:p>
      <w:pPr>
        <w:spacing w:before="0" w:after="120"/>
        <w:jc w:val="left"/>
      </w:pPr>
      <w:r>
        <w:rPr>
          <w:rFonts w:ascii="Calibri" w:hAnsi="Calibri"/>
          <w:b/>
          <w:color w:val="EB5F2A"/>
          <w:sz w:val="18"/>
        </w:rPr>
        <w:t>DIAPOSITIVE 17 SUR 21</w:t>
      </w:r>
    </w:p>
    <w:p>
      <w:pPr>
        <w:pStyle w:val="Heading1"/>
      </w:pPr>
      <w:r>
        <w:t>Proposition de pilote sur six mois</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Un pilote limité permet de valider l’utilité, la sécurité et l’organisation avant un déploiement plus large.</w:t>
      </w:r>
    </w:p>
    <w:p>
      <w:pPr>
        <w:pStyle w:val="Heading2"/>
      </w:pPr>
      <w:r>
        <w:t>À afficher dans la diapositive</w:t>
      </w:r>
    </w:p>
    <w:p>
      <w:pPr>
        <w:pStyle w:val="ListBullet"/>
      </w:pPr>
      <w:r>
        <w:t>Un territoire ou un public prioritaire clairement défini.</w:t>
      </w:r>
    </w:p>
    <w:p>
      <w:pPr>
        <w:pStyle w:val="ListBullet"/>
      </w:pPr>
      <w:r>
        <w:t>Un diagnostic validé par un comité d’expertes et experts.</w:t>
      </w:r>
    </w:p>
    <w:p>
      <w:pPr>
        <w:pStyle w:val="ListBullet"/>
      </w:pPr>
      <w:r>
        <w:t>Un répertoire de ressources vérifié et contractualisé.</w:t>
      </w:r>
    </w:p>
    <w:p>
      <w:pPr>
        <w:pStyle w:val="ListBullet"/>
      </w:pPr>
      <w:r>
        <w:t>Une campagne d’acquisition traçable.</w:t>
      </w:r>
    </w:p>
    <w:p>
      <w:pPr>
        <w:pStyle w:val="ListBullet"/>
      </w:pPr>
      <w:r>
        <w:t>Une évaluation finale avec décision de passage à l’échelle.</w:t>
      </w:r>
    </w:p>
    <w:tbl>
      <w:tblPr>
        <w:tblStyle w:val="TableGrid"/>
        <w:tblW w:type="dxa" w:w="9360"/>
        <w:jc w:val="left"/>
        <w:tblLayout w:type="fixed"/>
        <w:tblLook w:firstColumn="1" w:firstRow="1" w:lastColumn="0" w:lastRow="0" w:noHBand="0" w:noVBand="1" w:val="04A0"/>
        <w:tblInd w:w="120" w:type="dxa"/>
      </w:tblPr>
      <w:tblGrid>
        <w:gridCol w:w="1584"/>
        <w:gridCol w:w="2376"/>
        <w:gridCol w:w="5400"/>
      </w:tblGrid>
      <w:tr>
        <w:trPr>
          <w:tblHeader w:val="true"/>
        </w:trPr>
        <w:tc>
          <w:tcPr>
            <w:tcW w:type="dxa" w:w="1584"/>
            <w:shd w:fill="0F172A"/>
            <w:tcMar>
              <w:top w:w="80" w:type="dxa"/>
              <w:start w:w="120" w:type="dxa"/>
              <w:bottom w:w="80" w:type="dxa"/>
              <w:end w:w="120" w:type="dxa"/>
            </w:tcMar>
            <w:vAlign w:val="center"/>
          </w:tcPr>
          <w:p>
            <w:pPr>
              <w:spacing w:after="0"/>
              <w:jc w:val="left"/>
            </w:pPr>
            <w:r>
              <w:rPr>
                <w:rFonts w:ascii="Calibri" w:hAnsi="Calibri"/>
                <w:b/>
                <w:color w:val="FFFFFF"/>
                <w:sz w:val="19"/>
              </w:rPr>
              <w:t>Période</w:t>
            </w:r>
          </w:p>
        </w:tc>
        <w:tc>
          <w:tcPr>
            <w:tcW w:type="dxa" w:w="2376"/>
            <w:shd w:fill="0F172A"/>
            <w:tcMar>
              <w:top w:w="80" w:type="dxa"/>
              <w:start w:w="120" w:type="dxa"/>
              <w:bottom w:w="80" w:type="dxa"/>
              <w:end w:w="120" w:type="dxa"/>
            </w:tcMar>
            <w:vAlign w:val="center"/>
          </w:tcPr>
          <w:p>
            <w:pPr>
              <w:spacing w:after="0"/>
              <w:jc w:val="left"/>
            </w:pPr>
            <w:r>
              <w:rPr>
                <w:rFonts w:ascii="Calibri" w:hAnsi="Calibri"/>
                <w:b/>
                <w:color w:val="FFFFFF"/>
                <w:sz w:val="19"/>
              </w:rPr>
              <w:t>Phase</w:t>
            </w:r>
          </w:p>
        </w:tc>
        <w:tc>
          <w:tcPr>
            <w:tcW w:type="dxa" w:w="5400"/>
            <w:shd w:fill="0F172A"/>
            <w:tcMar>
              <w:top w:w="80" w:type="dxa"/>
              <w:start w:w="120" w:type="dxa"/>
              <w:bottom w:w="80" w:type="dxa"/>
              <w:end w:w="120" w:type="dxa"/>
            </w:tcMar>
            <w:vAlign w:val="center"/>
          </w:tcPr>
          <w:p>
            <w:pPr>
              <w:spacing w:after="0"/>
              <w:jc w:val="left"/>
            </w:pPr>
            <w:r>
              <w:rPr>
                <w:rFonts w:ascii="Calibri" w:hAnsi="Calibri"/>
                <w:b/>
                <w:color w:val="FFFFFF"/>
                <w:sz w:val="19"/>
              </w:rPr>
              <w:t>Livrable principal</w:t>
            </w:r>
          </w:p>
        </w:tc>
      </w:tr>
      <w:tr>
        <w:tc>
          <w:tcPr>
            <w:tcW w:type="dxa" w:w="1584"/>
            <w:tcMar>
              <w:top w:w="80" w:type="dxa"/>
              <w:start w:w="120" w:type="dxa"/>
              <w:bottom w:w="80" w:type="dxa"/>
              <w:end w:w="120" w:type="dxa"/>
            </w:tcMar>
            <w:vAlign w:val="center"/>
          </w:tcPr>
          <w:p>
            <w:pPr>
              <w:spacing w:after="0" w:line="264" w:lineRule="auto"/>
              <w:jc w:val="left"/>
            </w:pPr>
            <w:r>
              <w:rPr>
                <w:rFonts w:ascii="Calibri" w:hAnsi="Calibri"/>
                <w:b/>
                <w:color w:val="0F172A"/>
                <w:sz w:val="19"/>
              </w:rPr>
              <w:t>Mois 1</w:t>
            </w:r>
          </w:p>
        </w:tc>
        <w:tc>
          <w:tcPr>
            <w:tcW w:type="dxa" w:w="2376"/>
            <w:tcMar>
              <w:top w:w="80" w:type="dxa"/>
              <w:start w:w="120" w:type="dxa"/>
              <w:bottom w:w="80" w:type="dxa"/>
              <w:end w:w="120" w:type="dxa"/>
            </w:tcMar>
            <w:vAlign w:val="center"/>
          </w:tcPr>
          <w:p>
            <w:pPr>
              <w:spacing w:after="0" w:line="264" w:lineRule="auto"/>
              <w:jc w:val="left"/>
            </w:pPr>
            <w:r>
              <w:rPr>
                <w:rFonts w:ascii="Calibri" w:hAnsi="Calibri"/>
                <w:b w:val="0"/>
                <w:color w:val="0F172A"/>
                <w:sz w:val="19"/>
              </w:rPr>
              <w:t>Cadrage</w:t>
            </w:r>
          </w:p>
        </w:tc>
        <w:tc>
          <w:tcPr>
            <w:tcW w:type="dxa" w:w="5400"/>
            <w:tcMar>
              <w:top w:w="80" w:type="dxa"/>
              <w:start w:w="120" w:type="dxa"/>
              <w:bottom w:w="80" w:type="dxa"/>
              <w:end w:w="120" w:type="dxa"/>
            </w:tcMar>
            <w:vAlign w:val="center"/>
          </w:tcPr>
          <w:p>
            <w:pPr>
              <w:spacing w:after="0" w:line="264" w:lineRule="auto"/>
              <w:jc w:val="left"/>
            </w:pPr>
            <w:r>
              <w:rPr>
                <w:rFonts w:ascii="Calibri" w:hAnsi="Calibri"/>
                <w:b w:val="0"/>
                <w:color w:val="0F172A"/>
                <w:sz w:val="19"/>
              </w:rPr>
              <w:t>Gouvernance, cible, risques, indicateurs et protocole de données</w:t>
            </w:r>
          </w:p>
        </w:tc>
      </w:tr>
      <w:tr>
        <w:tc>
          <w:tcPr>
            <w:tcW w:type="dxa" w:w="1584"/>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Mois 2</w:t>
            </w:r>
          </w:p>
        </w:tc>
        <w:tc>
          <w:tcPr>
            <w:tcW w:type="dxa" w:w="2376"/>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Préparation</w:t>
            </w:r>
          </w:p>
        </w:tc>
        <w:tc>
          <w:tcPr>
            <w:tcW w:type="dxa" w:w="5400"/>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Diagnostic validé, ressources vérifiées, contenus et campagne prêts</w:t>
            </w:r>
          </w:p>
        </w:tc>
      </w:tr>
      <w:tr>
        <w:tc>
          <w:tcPr>
            <w:tcW w:type="dxa" w:w="1584"/>
            <w:tcMar>
              <w:top w:w="80" w:type="dxa"/>
              <w:start w:w="120" w:type="dxa"/>
              <w:bottom w:w="80" w:type="dxa"/>
              <w:end w:w="120" w:type="dxa"/>
            </w:tcMar>
            <w:vAlign w:val="center"/>
          </w:tcPr>
          <w:p>
            <w:pPr>
              <w:spacing w:after="0" w:line="264" w:lineRule="auto"/>
              <w:jc w:val="left"/>
            </w:pPr>
            <w:r>
              <w:rPr>
                <w:rFonts w:ascii="Calibri" w:hAnsi="Calibri"/>
                <w:b/>
                <w:color w:val="0F172A"/>
                <w:sz w:val="19"/>
              </w:rPr>
              <w:t>Mois 3 à 5</w:t>
            </w:r>
          </w:p>
        </w:tc>
        <w:tc>
          <w:tcPr>
            <w:tcW w:type="dxa" w:w="2376"/>
            <w:tcMar>
              <w:top w:w="80" w:type="dxa"/>
              <w:start w:w="120" w:type="dxa"/>
              <w:bottom w:w="80" w:type="dxa"/>
              <w:end w:w="120" w:type="dxa"/>
            </w:tcMar>
            <w:vAlign w:val="center"/>
          </w:tcPr>
          <w:p>
            <w:pPr>
              <w:spacing w:after="0" w:line="264" w:lineRule="auto"/>
              <w:jc w:val="left"/>
            </w:pPr>
            <w:r>
              <w:rPr>
                <w:rFonts w:ascii="Calibri" w:hAnsi="Calibri"/>
                <w:b w:val="0"/>
                <w:color w:val="0F172A"/>
                <w:sz w:val="19"/>
              </w:rPr>
              <w:t>Déploiement</w:t>
            </w:r>
          </w:p>
        </w:tc>
        <w:tc>
          <w:tcPr>
            <w:tcW w:type="dxa" w:w="5400"/>
            <w:tcMar>
              <w:top w:w="80" w:type="dxa"/>
              <w:start w:w="120" w:type="dxa"/>
              <w:bottom w:w="80" w:type="dxa"/>
              <w:end w:w="120" w:type="dxa"/>
            </w:tcMar>
            <w:vAlign w:val="center"/>
          </w:tcPr>
          <w:p>
            <w:pPr>
              <w:spacing w:after="0" w:line="264" w:lineRule="auto"/>
              <w:jc w:val="left"/>
            </w:pPr>
            <w:r>
              <w:rPr>
                <w:rFonts w:ascii="Calibri" w:hAnsi="Calibri"/>
                <w:b w:val="0"/>
                <w:color w:val="0F172A"/>
                <w:sz w:val="19"/>
              </w:rPr>
              <w:t>Lancement, suivi hebdomadaire, support et améliorations</w:t>
            </w:r>
          </w:p>
        </w:tc>
      </w:tr>
      <w:tr>
        <w:tc>
          <w:tcPr>
            <w:tcW w:type="dxa" w:w="1584"/>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Mois 6</w:t>
            </w:r>
          </w:p>
        </w:tc>
        <w:tc>
          <w:tcPr>
            <w:tcW w:type="dxa" w:w="2376"/>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Évaluation</w:t>
            </w:r>
          </w:p>
        </w:tc>
        <w:tc>
          <w:tcPr>
            <w:tcW w:type="dxa" w:w="5400"/>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Bilan quantitatif et qualitatif, recommandations et plan d’échelle</w:t>
            </w:r>
          </w:p>
        </w:tc>
      </w:tr>
    </w:tbl>
    <w:p>
      <w:pPr>
        <w:spacing w:after="40"/>
      </w:pPr>
    </w:p>
    <w:p>
      <w:pPr>
        <w:pStyle w:val="Heading2"/>
      </w:pPr>
      <w:r>
        <w:t>Logique à expliquer</w:t>
      </w:r>
    </w:p>
    <w:p>
      <w:r>
        <w:t>Le pilote doit commencer par un état de référence: publics visés, canaux de communication, structures disponibles, capacité d’orientation et exigences de protection des données. Il se termine par une revue des indicateurs, des retours qualitatifs et des incidents.</w:t>
      </w:r>
    </w:p>
    <w:p>
      <w:r>
        <w:t>Le budget est à construire selon le territoire et le niveau d’ambition. Les postes principaux sont la validation experte, les contenus et traductions, la cartographie des services, la sécurité, l’hébergement, la communication, la formation, le support et l’évaluation.</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Proposer une décision simple au partenaire: financer ou cofinancer un pilote avec des livrables et des critères de succès convenus dès le départ.</w:t>
      </w:r>
    </w:p>
    <w:p>
      <w:pPr>
        <w:spacing w:before="80"/>
      </w:pPr>
      <w:r>
        <w:rPr>
          <w:rFonts w:ascii="Calibri" w:hAnsi="Calibri"/>
          <w:b/>
          <w:color w:val="EB5F2A"/>
          <w:sz w:val="17"/>
        </w:rPr>
        <w:t xml:space="preserve">VISUEL POWERPOINT RECOMMANDÉ  </w:t>
      </w:r>
      <w:r>
        <w:rPr>
          <w:rFonts w:ascii="Calibri" w:hAnsi="Calibri"/>
          <w:i/>
          <w:color w:val="64748B"/>
          <w:sz w:val="19"/>
        </w:rPr>
        <w:t>Chronologie en quatre phases avec jalons de validation.</w:t>
      </w:r>
    </w:p>
    <w:p>
      <w:r>
        <w:br w:type="page"/>
      </w:r>
    </w:p>
    <w:p>
      <w:pPr>
        <w:spacing w:before="0" w:after="120"/>
        <w:jc w:val="left"/>
      </w:pPr>
      <w:r>
        <w:rPr>
          <w:rFonts w:ascii="Calibri" w:hAnsi="Calibri"/>
          <w:b/>
          <w:color w:val="EB5F2A"/>
          <w:sz w:val="18"/>
        </w:rPr>
        <w:t>DIAPOSITIVE 18 SUR 21</w:t>
      </w:r>
    </w:p>
    <w:p>
      <w:pPr>
        <w:pStyle w:val="Heading1"/>
      </w:pPr>
      <w:r>
        <w:t>Les indicateurs de succès</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Le succès doit être mesuré à plusieurs niveaux: portée, engagement, orientation, qualité, sécurité et capacité institutionnelle.</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0F172A"/>
            <w:tcMar>
              <w:top w:w="80" w:type="dxa"/>
              <w:start w:w="120" w:type="dxa"/>
              <w:bottom w:w="80" w:type="dxa"/>
              <w:end w:w="120" w:type="dxa"/>
            </w:tcMar>
            <w:vAlign w:val="center"/>
          </w:tcPr>
          <w:p>
            <w:pPr>
              <w:spacing w:after="0"/>
              <w:jc w:val="left"/>
            </w:pPr>
            <w:r>
              <w:rPr>
                <w:rFonts w:ascii="Calibri" w:hAnsi="Calibri"/>
                <w:b/>
                <w:color w:val="FFFFFF"/>
                <w:sz w:val="19"/>
              </w:rPr>
              <w:t>Niveau</w:t>
            </w:r>
          </w:p>
        </w:tc>
        <w:tc>
          <w:tcPr>
            <w:tcW w:type="dxa" w:w="7200"/>
            <w:shd w:fill="0F172A"/>
            <w:tcMar>
              <w:top w:w="80" w:type="dxa"/>
              <w:start w:w="120" w:type="dxa"/>
              <w:bottom w:w="80" w:type="dxa"/>
              <w:end w:w="120" w:type="dxa"/>
            </w:tcMar>
            <w:vAlign w:val="center"/>
          </w:tcPr>
          <w:p>
            <w:pPr>
              <w:spacing w:after="0"/>
              <w:jc w:val="left"/>
            </w:pPr>
            <w:r>
              <w:rPr>
                <w:rFonts w:ascii="Calibri" w:hAnsi="Calibri"/>
                <w:b/>
                <w:color w:val="FFFFFF"/>
                <w:sz w:val="19"/>
              </w:rPr>
              <w:t>Exemples d’indicateurs</w:t>
            </w:r>
          </w:p>
        </w:tc>
      </w:tr>
      <w:tr>
        <w:tc>
          <w:tcPr>
            <w:tcW w:type="dxa" w:w="2160"/>
            <w:tcMar>
              <w:top w:w="80" w:type="dxa"/>
              <w:start w:w="120" w:type="dxa"/>
              <w:bottom w:w="80" w:type="dxa"/>
              <w:end w:w="120" w:type="dxa"/>
            </w:tcMar>
            <w:vAlign w:val="center"/>
          </w:tcPr>
          <w:p>
            <w:pPr>
              <w:spacing w:after="0" w:line="264" w:lineRule="auto"/>
              <w:jc w:val="left"/>
            </w:pPr>
            <w:r>
              <w:rPr>
                <w:rFonts w:ascii="Calibri" w:hAnsi="Calibri"/>
                <w:b/>
                <w:color w:val="0F172A"/>
                <w:sz w:val="19"/>
              </w:rPr>
              <w:t>Portée</w:t>
            </w:r>
          </w:p>
        </w:tc>
        <w:tc>
          <w:tcPr>
            <w:tcW w:type="dxa" w:w="7200"/>
            <w:tcMar>
              <w:top w:w="80" w:type="dxa"/>
              <w:start w:w="120" w:type="dxa"/>
              <w:bottom w:w="80" w:type="dxa"/>
              <w:end w:w="120" w:type="dxa"/>
            </w:tcMar>
            <w:vAlign w:val="center"/>
          </w:tcPr>
          <w:p>
            <w:pPr>
              <w:spacing w:after="0" w:line="264" w:lineRule="auto"/>
              <w:jc w:val="left"/>
            </w:pPr>
            <w:r>
              <w:rPr>
                <w:rFonts w:ascii="Calibri" w:hAnsi="Calibri"/>
                <w:b w:val="0"/>
                <w:color w:val="0F172A"/>
                <w:sz w:val="19"/>
              </w:rPr>
              <w:t>Visiteurs uniques, territoires, campagnes, part mobile</w:t>
            </w:r>
          </w:p>
        </w:tc>
      </w:tr>
      <w:tr>
        <w:tc>
          <w:tcPr>
            <w:tcW w:type="dxa" w:w="2160"/>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Engagement</w:t>
            </w:r>
          </w:p>
        </w:tc>
        <w:tc>
          <w:tcPr>
            <w:tcW w:type="dxa" w:w="7200"/>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Démarrages, progression, taux de complétion, durée, abandons</w:t>
            </w:r>
          </w:p>
        </w:tc>
      </w:tr>
      <w:tr>
        <w:tc>
          <w:tcPr>
            <w:tcW w:type="dxa" w:w="2160"/>
            <w:tcMar>
              <w:top w:w="80" w:type="dxa"/>
              <w:start w:w="120" w:type="dxa"/>
              <w:bottom w:w="80" w:type="dxa"/>
              <w:end w:w="120" w:type="dxa"/>
            </w:tcMar>
            <w:vAlign w:val="center"/>
          </w:tcPr>
          <w:p>
            <w:pPr>
              <w:spacing w:after="0" w:line="264" w:lineRule="auto"/>
              <w:jc w:val="left"/>
            </w:pPr>
            <w:r>
              <w:rPr>
                <w:rFonts w:ascii="Calibri" w:hAnsi="Calibri"/>
                <w:b/>
                <w:color w:val="0F172A"/>
                <w:sz w:val="19"/>
              </w:rPr>
              <w:t>Orientation</w:t>
            </w:r>
          </w:p>
        </w:tc>
        <w:tc>
          <w:tcPr>
            <w:tcW w:type="dxa" w:w="7200"/>
            <w:tcMar>
              <w:top w:w="80" w:type="dxa"/>
              <w:start w:w="120" w:type="dxa"/>
              <w:bottom w:w="80" w:type="dxa"/>
              <w:end w:w="120" w:type="dxa"/>
            </w:tcMar>
            <w:vAlign w:val="center"/>
          </w:tcPr>
          <w:p>
            <w:pPr>
              <w:spacing w:after="0" w:line="264" w:lineRule="auto"/>
              <w:jc w:val="left"/>
            </w:pPr>
            <w:r>
              <w:rPr>
                <w:rFonts w:ascii="Calibri" w:hAnsi="Calibri"/>
                <w:b w:val="0"/>
                <w:color w:val="0F172A"/>
                <w:sz w:val="19"/>
              </w:rPr>
              <w:t>Consultations de ressources, appels ou clics lorsque mesurables avec consentement</w:t>
            </w:r>
          </w:p>
        </w:tc>
      </w:tr>
      <w:tr>
        <w:tc>
          <w:tcPr>
            <w:tcW w:type="dxa" w:w="2160"/>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Qualité</w:t>
            </w:r>
          </w:p>
        </w:tc>
        <w:tc>
          <w:tcPr>
            <w:tcW w:type="dxa" w:w="7200"/>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Compréhension, pertinence perçue, contacts valides, retours des structures</w:t>
            </w:r>
          </w:p>
        </w:tc>
      </w:tr>
      <w:tr>
        <w:tc>
          <w:tcPr>
            <w:tcW w:type="dxa" w:w="2160"/>
            <w:tcMar>
              <w:top w:w="80" w:type="dxa"/>
              <w:start w:w="120" w:type="dxa"/>
              <w:bottom w:w="80" w:type="dxa"/>
              <w:end w:w="120" w:type="dxa"/>
            </w:tcMar>
            <w:vAlign w:val="center"/>
          </w:tcPr>
          <w:p>
            <w:pPr>
              <w:spacing w:after="0" w:line="264" w:lineRule="auto"/>
              <w:jc w:val="left"/>
            </w:pPr>
            <w:r>
              <w:rPr>
                <w:rFonts w:ascii="Calibri" w:hAnsi="Calibri"/>
                <w:b/>
                <w:color w:val="0F172A"/>
                <w:sz w:val="19"/>
              </w:rPr>
              <w:t>Sécurité</w:t>
            </w:r>
          </w:p>
        </w:tc>
        <w:tc>
          <w:tcPr>
            <w:tcW w:type="dxa" w:w="7200"/>
            <w:tcMar>
              <w:top w:w="80" w:type="dxa"/>
              <w:start w:w="120" w:type="dxa"/>
              <w:bottom w:w="80" w:type="dxa"/>
              <w:end w:w="120" w:type="dxa"/>
            </w:tcMar>
            <w:vAlign w:val="center"/>
          </w:tcPr>
          <w:p>
            <w:pPr>
              <w:spacing w:after="0" w:line="264" w:lineRule="auto"/>
              <w:jc w:val="left"/>
            </w:pPr>
            <w:r>
              <w:rPr>
                <w:rFonts w:ascii="Calibri" w:hAnsi="Calibri"/>
                <w:b w:val="0"/>
                <w:color w:val="0F172A"/>
                <w:sz w:val="19"/>
              </w:rPr>
              <w:t>Incidents, demandes de suppression, accès non autorisés, délais de traitement</w:t>
            </w:r>
          </w:p>
        </w:tc>
      </w:tr>
      <w:tr>
        <w:tc>
          <w:tcPr>
            <w:tcW w:type="dxa" w:w="2160"/>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Capacité</w:t>
            </w:r>
          </w:p>
        </w:tc>
        <w:tc>
          <w:tcPr>
            <w:tcW w:type="dxa" w:w="7200"/>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Administrateurs formés, ressources mises à jour, fréquence des revues</w:t>
            </w:r>
          </w:p>
        </w:tc>
      </w:tr>
    </w:tbl>
    <w:p>
      <w:pPr>
        <w:spacing w:after="40"/>
      </w:pPr>
    </w:p>
    <w:p>
      <w:pPr>
        <w:pStyle w:val="Heading2"/>
      </w:pPr>
      <w:r>
        <w:t>Logique à expliquer</w:t>
      </w:r>
    </w:p>
    <w:p>
      <w:r>
        <w:t>Les cibles chiffrées seront définies avec le partenaire après l’état de référence. Fixer aujourd’hui des volumes arbitraires créerait une promesse difficile à défendre. Le pilote doit surtout démontrer une progression documentée et la fiabilité du dispositif.</w:t>
      </w:r>
    </w:p>
    <w:p>
      <w:r>
        <w:t>Les données quantitatives doivent être complétées par des retours qualitatifs volontaires: compréhension du résultat, utilité des ressources, sentiment de sécurité, accessibilité et satisfaction des structures d’orientation.</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Présenter les indicateurs comme une chaîne logique. Le nombre de visites seul n’est pas un résultat social.</w:t>
      </w:r>
    </w:p>
    <w:p>
      <w:pPr>
        <w:spacing w:before="80"/>
      </w:pPr>
      <w:r>
        <w:rPr>
          <w:rFonts w:ascii="Calibri" w:hAnsi="Calibri"/>
          <w:b/>
          <w:color w:val="EB5F2A"/>
          <w:sz w:val="17"/>
        </w:rPr>
        <w:t xml:space="preserve">VISUEL POWERPOINT RECOMMANDÉ  </w:t>
      </w:r>
      <w:r>
        <w:rPr>
          <w:rFonts w:ascii="Calibri" w:hAnsi="Calibri"/>
          <w:i/>
          <w:color w:val="64748B"/>
          <w:sz w:val="19"/>
        </w:rPr>
        <w:t>Une chaîne de résultats allant de la portée jusqu’à l’orientation utile.</w:t>
      </w:r>
    </w:p>
    <w:p>
      <w:r>
        <w:br w:type="page"/>
      </w:r>
    </w:p>
    <w:p>
      <w:pPr>
        <w:spacing w:before="0" w:after="120"/>
        <w:jc w:val="left"/>
      </w:pPr>
      <w:r>
        <w:rPr>
          <w:rFonts w:ascii="Calibri" w:hAnsi="Calibri"/>
          <w:b/>
          <w:color w:val="EB5F2A"/>
          <w:sz w:val="18"/>
        </w:rPr>
        <w:t>DIAPOSITIVE 19 SUR 21</w:t>
      </w:r>
    </w:p>
    <w:p>
      <w:pPr>
        <w:pStyle w:val="Heading1"/>
      </w:pPr>
      <w:r>
        <w:t>Risques identifiés et réponses prévues</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Une plateforme responsable reconnaît ses risques, les documente et organise leur réduction avant le passage à l’échelle.</w:t>
      </w:r>
    </w:p>
    <w:p>
      <w:pPr>
        <w:pStyle w:val="Heading2"/>
      </w:pPr>
      <w:r>
        <w:t>À afficher dans la diapositive</w:t>
      </w:r>
    </w:p>
    <w:p>
      <w:pPr>
        <w:pStyle w:val="ListBullet"/>
      </w:pPr>
      <w:r>
        <w:t>Découverte du téléphone par une personne violente: sortie rapide, mode discret, précautions de partage.</w:t>
      </w:r>
    </w:p>
    <w:p>
      <w:pPr>
        <w:pStyle w:val="ListBullet"/>
      </w:pPr>
      <w:r>
        <w:t>Mauvaise interprétation du résultat: langage clair, avertissements et validation experte.</w:t>
      </w:r>
    </w:p>
    <w:p>
      <w:pPr>
        <w:pStyle w:val="ListBullet"/>
      </w:pPr>
      <w:r>
        <w:t>Ressources obsolètes: responsables identifiés et calendrier de vérification.</w:t>
      </w:r>
    </w:p>
    <w:p>
      <w:pPr>
        <w:pStyle w:val="ListBullet"/>
      </w:pPr>
      <w:r>
        <w:t>Données sensibles: minimisation, chiffrement, rétention limitée et contrôle des accès.</w:t>
      </w:r>
    </w:p>
    <w:p>
      <w:pPr>
        <w:pStyle w:val="ListBullet"/>
      </w:pPr>
      <w:r>
        <w:t>Fracture numérique: approche mobile, langage simple, partenariats terrain et formats complémentaires.</w:t>
      </w:r>
    </w:p>
    <w:p>
      <w:pPr>
        <w:pStyle w:val="ListBullet"/>
      </w:pPr>
      <w:r>
        <w:t>Surcharge des services: coordination et suivi de capacité avant les campagnes.</w:t>
      </w:r>
    </w:p>
    <w:p>
      <w:pPr>
        <w:pStyle w:val="Heading2"/>
      </w:pPr>
      <w:r>
        <w:t>Logique à expliquer</w:t>
      </w:r>
    </w:p>
    <w:p>
      <w:r>
        <w:t>La gestion des risques doit être un livrable du partenariat. Elle comprend un registre, des responsables, des seuils d’alerte, un protocole d’incident, des tests réguliers et une procédure d’arrêt temporaire si la sécurité n’est plus garantie.</w:t>
      </w:r>
    </w:p>
    <w:p>
      <w:r>
        <w:t>La plateforme doit également être testée avec des utilisatrices et utilisateurs réels dans un cadre éthique, sans demander de raconter des situations traumatiques pour prouver son utilité.</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Cette diapositive est souvent décisive devant des partenaires institutionnels. Montrer que l’équipe ne sous-estime ni la sensibilité ni les obligations du projet.</w:t>
      </w:r>
    </w:p>
    <w:p>
      <w:pPr>
        <w:spacing w:before="80"/>
      </w:pPr>
      <w:r>
        <w:rPr>
          <w:rFonts w:ascii="Calibri" w:hAnsi="Calibri"/>
          <w:b/>
          <w:color w:val="EB5F2A"/>
          <w:sz w:val="17"/>
        </w:rPr>
        <w:t xml:space="preserve">VISUEL POWERPOINT RECOMMANDÉ  </w:t>
      </w:r>
      <w:r>
        <w:rPr>
          <w:rFonts w:ascii="Calibri" w:hAnsi="Calibri"/>
          <w:i/>
          <w:color w:val="64748B"/>
          <w:sz w:val="19"/>
        </w:rPr>
        <w:t>Six risques avec, en face, une mesure de réduction courte.</w:t>
      </w:r>
    </w:p>
    <w:p>
      <w:r>
        <w:br w:type="page"/>
      </w:r>
    </w:p>
    <w:p>
      <w:pPr>
        <w:spacing w:before="0" w:after="120"/>
        <w:jc w:val="left"/>
      </w:pPr>
      <w:r>
        <w:rPr>
          <w:rFonts w:ascii="Calibri" w:hAnsi="Calibri"/>
          <w:b/>
          <w:color w:val="EB5F2A"/>
          <w:sz w:val="18"/>
        </w:rPr>
        <w:t>DIAPOSITIVE 20 SUR 21</w:t>
      </w:r>
    </w:p>
    <w:p>
      <w:pPr>
        <w:pStyle w:val="Heading1"/>
      </w:pPr>
      <w:r>
        <w:t>Ce que nous demandons aux partenaires</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Nous proposons de co-construire un pilote sécurisé, mesurable et relié aux services existants.</w:t>
      </w:r>
    </w:p>
    <w:p>
      <w:pPr>
        <w:pStyle w:val="Heading2"/>
      </w:pPr>
      <w:r>
        <w:t>À afficher dans la diapositive</w:t>
      </w:r>
    </w:p>
    <w:p>
      <w:pPr>
        <w:pStyle w:val="ListBullet"/>
      </w:pPr>
      <w:r>
        <w:t>Soutien financier pour le pilote, la maintenance et l’évaluation.</w:t>
      </w:r>
    </w:p>
    <w:p>
      <w:pPr>
        <w:pStyle w:val="ListBullet"/>
      </w:pPr>
      <w:r>
        <w:t>Expertise pour valider les contenus, seuils et messages d’orientation.</w:t>
      </w:r>
    </w:p>
    <w:p>
      <w:pPr>
        <w:pStyle w:val="ListBullet"/>
      </w:pPr>
      <w:r>
        <w:t>Accès à un réseau de structures vérifiées et capables de recevoir les orientations.</w:t>
      </w:r>
    </w:p>
    <w:p>
      <w:pPr>
        <w:pStyle w:val="ListBullet"/>
      </w:pPr>
      <w:r>
        <w:t>Accompagnement en protection des données, cybersécurité et recherche éthique.</w:t>
      </w:r>
    </w:p>
    <w:p>
      <w:pPr>
        <w:pStyle w:val="ListBullet"/>
      </w:pPr>
      <w:r>
        <w:t>Appui à la communication, aux langues locales, à l’accessibilité et au passage à l’échelle.</w:t>
      </w:r>
    </w:p>
    <w:p>
      <w:pPr>
        <w:pStyle w:val="Heading2"/>
      </w:pPr>
      <w:r>
        <w:t>Logique à expliquer</w:t>
      </w:r>
    </w:p>
    <w:p>
      <w:r>
        <w:t>La proposition peut être adaptée à la nature du partenaire. Un bailleur peut financer le pilote; une institution peut faciliter le référencement; une agence technique peut appuyer la gouvernance; une entreprise technologique peut soutenir l’hébergement, les audits ou l’accès mobile.</w:t>
      </w:r>
    </w:p>
    <w:p>
      <w:r>
        <w:t>La contrepartie est un dispositif transparent: feuille de route, gouvernance, indicateurs partagés, rapports périodiques, visibilité convenue et décision de passage à l’échelle fondée sur les résultats.</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Terminer par une demande concrète: nommer un point focal, organiser un atelier de cadrage et convenir d’une note conceptuelle budgétée dans les trente jours.</w:t>
      </w:r>
    </w:p>
    <w:p>
      <w:pPr>
        <w:spacing w:before="80"/>
      </w:pPr>
      <w:r>
        <w:rPr>
          <w:rFonts w:ascii="Calibri" w:hAnsi="Calibri"/>
          <w:b/>
          <w:color w:val="EB5F2A"/>
          <w:sz w:val="17"/>
        </w:rPr>
        <w:t xml:space="preserve">VISUEL POWERPOINT RECOMMANDÉ  </w:t>
      </w:r>
      <w:r>
        <w:rPr>
          <w:rFonts w:ascii="Calibri" w:hAnsi="Calibri"/>
          <w:i/>
          <w:color w:val="64748B"/>
          <w:sz w:val="19"/>
        </w:rPr>
        <w:t>Cinq formes de contribution autour d’un bloc central « pilote 6 mois ».</w:t>
      </w:r>
    </w:p>
    <w:p>
      <w:r>
        <w:br w:type="page"/>
      </w:r>
    </w:p>
    <w:p>
      <w:pPr>
        <w:spacing w:before="0" w:after="120"/>
        <w:jc w:val="left"/>
      </w:pPr>
      <w:r>
        <w:rPr>
          <w:rFonts w:ascii="Calibri" w:hAnsi="Calibri"/>
          <w:b/>
          <w:color w:val="EB5F2A"/>
          <w:sz w:val="18"/>
        </w:rPr>
        <w:t>DIAPOSITIVE 21 SUR 21</w:t>
      </w:r>
    </w:p>
    <w:p>
      <w:pPr>
        <w:pStyle w:val="Heading1"/>
      </w:pPr>
      <w:r>
        <w:t>Conclusion: diagnostiquer pour mieux protéger</w:t>
      </w:r>
    </w:p>
    <w:p>
      <w:pPr>
        <w:spacing w:before="80" w:after="200" w:line="288" w:lineRule="auto"/>
        <w:ind w:left="144" w:right="144"/>
        <w:shd w:fill="FFF3ED"/>
        <w:pBdr>
          <w:left w:val="single" w:sz="20" w:space="10" w:color="EB5F2A"/>
        </w:pBdr>
      </w:pPr>
      <w:r>
        <w:rPr>
          <w:rFonts w:ascii="Calibri" w:hAnsi="Calibri"/>
          <w:b/>
          <w:color w:val="0F172A"/>
          <w:sz w:val="22"/>
        </w:rPr>
        <w:t xml:space="preserve">Message clé: </w:t>
      </w:r>
      <w:r>
        <w:rPr>
          <w:rFonts w:ascii="Calibri" w:hAnsi="Calibri"/>
          <w:color w:val="0F172A"/>
          <w:sz w:val="22"/>
        </w:rPr>
        <w:t>ALERTE VIOLENCE peut devenir une porte d’entrée fiable entre le silence, la compréhension et l’accès à l’aide.</w:t>
      </w:r>
    </w:p>
    <w:p>
      <w:pPr>
        <w:pStyle w:val="Heading2"/>
      </w:pPr>
      <w:r>
        <w:t>À afficher dans la diapositive</w:t>
      </w:r>
    </w:p>
    <w:p>
      <w:pPr>
        <w:pStyle w:val="ListBullet"/>
      </w:pPr>
      <w:r>
        <w:t>Une idée simple: permettre de reconnaître les signaux plus tôt.</w:t>
      </w:r>
    </w:p>
    <w:p>
      <w:pPr>
        <w:pStyle w:val="ListBullet"/>
      </w:pPr>
      <w:r>
        <w:t>Une plateforme opérationnelle: diagnostic, ressources, comptes, administration et statistiques.</w:t>
      </w:r>
    </w:p>
    <w:p>
      <w:pPr>
        <w:pStyle w:val="ListBullet"/>
      </w:pPr>
      <w:r>
        <w:t>Une exigence: sécurité, validation experte et gouvernance des données.</w:t>
      </w:r>
    </w:p>
    <w:p>
      <w:pPr>
        <w:pStyle w:val="ListBullet"/>
      </w:pPr>
      <w:r>
        <w:t>Une opportunité de partenariat: tester, mesurer, améliorer et étendre.</w:t>
      </w:r>
    </w:p>
    <w:p>
      <w:pPr>
        <w:pStyle w:val="Heading2"/>
      </w:pPr>
      <w:r>
        <w:t>Logique à expliquer</w:t>
      </w:r>
    </w:p>
    <w:p>
      <w:r>
        <w:t>La technologie n’est pas la finalité. La finalité est qu’une personne comprenne plus tôt ce qu’elle vit, se sente moins seule et trouve une aide crédible. Le rôle des partenaires est de rendre ce chemin plus sûr, plus accessible et plus durable.</w:t>
      </w:r>
    </w:p>
    <w:p>
      <w:r>
        <w:t>La prochaine étape proposée est un atelier de cadrage réunissant la LNDF, les structures d’aide, les expertes et experts VBG, le référent données et le partenaire intéressé afin de définir le périmètre du pilote.</w:t>
      </w:r>
    </w:p>
    <w:p>
      <w:pPr>
        <w:spacing w:before="80" w:after="200" w:line="288" w:lineRule="auto"/>
        <w:ind w:left="144" w:right="144"/>
        <w:shd w:fill="EFF6FF"/>
        <w:pBdr>
          <w:left w:val="single" w:sz="20" w:space="10" w:color="2E74B5"/>
        </w:pBdr>
      </w:pPr>
      <w:r>
        <w:rPr>
          <w:rFonts w:ascii="Calibri" w:hAnsi="Calibri"/>
          <w:b/>
          <w:color w:val="0F172A"/>
          <w:sz w:val="22"/>
        </w:rPr>
        <w:t xml:space="preserve">Notes de prise de parole: </w:t>
      </w:r>
      <w:r>
        <w:rPr>
          <w:rFonts w:ascii="Calibri" w:hAnsi="Calibri"/>
          <w:color w:val="0F172A"/>
          <w:sz w:val="22"/>
        </w:rPr>
        <w:t>Revenir à l’histoire d’ouverture et montrer ce qui change: la personne ne reste plus seule face à son doute; elle dispose d’un repère et d’un chemin vers l’aide.</w:t>
      </w:r>
    </w:p>
    <w:p>
      <w:pPr>
        <w:spacing w:before="80"/>
      </w:pPr>
      <w:r>
        <w:rPr>
          <w:rFonts w:ascii="Calibri" w:hAnsi="Calibri"/>
          <w:b/>
          <w:color w:val="EB5F2A"/>
          <w:sz w:val="17"/>
        </w:rPr>
        <w:t xml:space="preserve">VISUEL POWERPOINT RECOMMANDÉ  </w:t>
      </w:r>
      <w:r>
        <w:rPr>
          <w:rFonts w:ascii="Calibri" w:hAnsi="Calibri"/>
          <w:i/>
          <w:color w:val="64748B"/>
          <w:sz w:val="19"/>
        </w:rPr>
        <w:t>La même image qu’en ouverture, complétée par une porte ouverte vers un réseau d’aide.</w:t>
      </w:r>
    </w:p>
    <w:p>
      <w:r>
        <w:br w:type="page"/>
      </w:r>
    </w:p>
    <w:p>
      <w:pPr>
        <w:spacing w:before="0" w:after="120"/>
        <w:jc w:val="left"/>
      </w:pPr>
      <w:r>
        <w:rPr>
          <w:rFonts w:ascii="Calibri" w:hAnsi="Calibri"/>
          <w:b/>
          <w:color w:val="EB5F2A"/>
          <w:sz w:val="18"/>
        </w:rPr>
        <w:t>ANNEXE 1</w:t>
      </w:r>
    </w:p>
    <w:p>
      <w:pPr>
        <w:pStyle w:val="Heading1"/>
      </w:pPr>
      <w:r>
        <w:t>Pitch oral de trois minutes</w:t>
      </w:r>
    </w:p>
    <w:p>
      <w:pPr>
        <w:keepLines/>
      </w:pPr>
      <w:r>
        <w:rPr>
          <w:rFonts w:ascii="Calibri" w:hAnsi="Calibri"/>
          <w:b/>
          <w:color w:val="EB5F2A"/>
          <w:sz w:val="22"/>
        </w:rPr>
        <w:t xml:space="preserve">1. </w:t>
      </w:r>
      <w:r>
        <w:t>Imaginez une femme qui se demande si ce qu’elle vit est normal. Elle subit du contrôle, de l’isolement ou des humiliations, mais elle ne se reconnaît pas forcément comme victime. Elle n’est pas encore prête à appeler un service et ne sait pas où chercher. C’est précisément dans cet espace de doute qu’ALERTE VIOLENCE intervient.</w:t>
      </w:r>
    </w:p>
    <w:p>
      <w:pPr>
        <w:keepLines/>
      </w:pPr>
      <w:r>
        <w:rPr>
          <w:rFonts w:ascii="Calibri" w:hAnsi="Calibri"/>
          <w:b/>
          <w:color w:val="EB5F2A"/>
          <w:sz w:val="22"/>
        </w:rPr>
        <w:t xml:space="preserve">2. </w:t>
      </w:r>
      <w:r>
        <w:t>La plateforme, portée par la Ligue Nigérienne des Droits des Femmes, permet de réaliser une autoévaluation pour soi-même ou pour un proche, sans obligation de créer un compte. Le questionnaire explore plusieurs familles de signaux, restitue un niveau compréhensible et oriente immédiatement vers des associations, institutions, lignes d’écoute ou services d’urgence adaptés au pays.</w:t>
      </w:r>
    </w:p>
    <w:p>
      <w:pPr>
        <w:keepLines/>
      </w:pPr>
      <w:r>
        <w:rPr>
          <w:rFonts w:ascii="Calibri" w:hAnsi="Calibri"/>
          <w:b/>
          <w:color w:val="EB5F2A"/>
          <w:sz w:val="22"/>
        </w:rPr>
        <w:t xml:space="preserve">3. </w:t>
      </w:r>
      <w:r>
        <w:t>Mais ALERTE VIOLENCE est plus qu’un questionnaire. Les équipes peuvent administrer les diagnostics et les ressources, gérer des accès par module et suivre des indicateurs comme les démarrages, les complétions, les abandons, les niveaux de résultat et les campagnes de sensibilisation. Nous pouvons donc améliorer le parcours à partir de données d’usage, tout en renforçant la protection des données sensibles.</w:t>
      </w:r>
    </w:p>
    <w:p>
      <w:pPr>
        <w:keepLines/>
      </w:pPr>
      <w:r>
        <w:rPr>
          <w:rFonts w:ascii="Calibri" w:hAnsi="Calibri"/>
          <w:b/>
          <w:color w:val="EB5F2A"/>
          <w:sz w:val="22"/>
        </w:rPr>
        <w:t xml:space="preserve">4. </w:t>
      </w:r>
      <w:r>
        <w:t>Notre proposition est simple: co-construire avec vous un pilote de six mois. Il permettra de valider les contenus avec des spécialistes, de vérifier le réseau d’orientation, de formaliser la gouvernance des données, de lancer une campagne ciblée et de mesurer ce qui fonctionne avant un passage à l’échelle.</w:t>
      </w:r>
    </w:p>
    <w:p>
      <w:pPr>
        <w:keepLines/>
      </w:pPr>
      <w:r>
        <w:rPr>
          <w:rFonts w:ascii="Calibri" w:hAnsi="Calibri"/>
          <w:b/>
          <w:color w:val="EB5F2A"/>
          <w:sz w:val="22"/>
        </w:rPr>
        <w:t xml:space="preserve">5. </w:t>
      </w:r>
      <w:r>
        <w:t>Nous ne vous demandons pas seulement de financer une technologie. Nous vous proposons de construire une porte d’entrée sûre entre le silence, la compréhension et l’accès à l’aide. La prochaine étape serait un atelier de cadrage afin de définir ensemble le territoire, les publics, les indicateurs et le budget du pilote.</w:t>
      </w:r>
    </w:p>
    <w:p>
      <w:r>
        <w:br w:type="page"/>
      </w:r>
    </w:p>
    <w:p>
      <w:pPr>
        <w:spacing w:before="0" w:after="120"/>
        <w:jc w:val="left"/>
      </w:pPr>
      <w:r>
        <w:rPr>
          <w:rFonts w:ascii="Calibri" w:hAnsi="Calibri"/>
          <w:b/>
          <w:color w:val="EB5F2A"/>
          <w:sz w:val="18"/>
        </w:rPr>
        <w:t>ANNEXE 2</w:t>
      </w:r>
    </w:p>
    <w:p>
      <w:pPr>
        <w:pStyle w:val="Heading1"/>
      </w:pPr>
      <w:r>
        <w:t>Scénario de démonstration en sept minutes</w:t>
      </w:r>
    </w:p>
    <w:tbl>
      <w:tblPr>
        <w:tblStyle w:val="TableGrid"/>
        <w:tblW w:type="dxa" w:w="9360"/>
        <w:jc w:val="left"/>
        <w:tblLayout w:type="fixed"/>
        <w:tblLook w:firstColumn="1" w:firstRow="1" w:lastColumn="0" w:lastRow="0" w:noHBand="0" w:noVBand="1" w:val="04A0"/>
        <w:tblInd w:w="120" w:type="dxa"/>
      </w:tblPr>
      <w:tblGrid>
        <w:gridCol w:w="1656"/>
        <w:gridCol w:w="1800"/>
        <w:gridCol w:w="5904"/>
      </w:tblGrid>
      <w:tr>
        <w:trPr>
          <w:tblHeader w:val="true"/>
        </w:trPr>
        <w:tc>
          <w:tcPr>
            <w:tcW w:type="dxa" w:w="1656"/>
            <w:shd w:fill="0F172A"/>
            <w:tcMar>
              <w:top w:w="80" w:type="dxa"/>
              <w:start w:w="120" w:type="dxa"/>
              <w:bottom w:w="80" w:type="dxa"/>
              <w:end w:w="120" w:type="dxa"/>
            </w:tcMar>
            <w:vAlign w:val="center"/>
          </w:tcPr>
          <w:p>
            <w:pPr>
              <w:spacing w:after="0"/>
              <w:jc w:val="left"/>
            </w:pPr>
            <w:r>
              <w:rPr>
                <w:rFonts w:ascii="Calibri" w:hAnsi="Calibri"/>
                <w:b/>
                <w:color w:val="FFFFFF"/>
                <w:sz w:val="19"/>
              </w:rPr>
              <w:t>Temps</w:t>
            </w:r>
          </w:p>
        </w:tc>
        <w:tc>
          <w:tcPr>
            <w:tcW w:type="dxa" w:w="1800"/>
            <w:shd w:fill="0F172A"/>
            <w:tcMar>
              <w:top w:w="80" w:type="dxa"/>
              <w:start w:w="120" w:type="dxa"/>
              <w:bottom w:w="80" w:type="dxa"/>
              <w:end w:w="120" w:type="dxa"/>
            </w:tcMar>
            <w:vAlign w:val="center"/>
          </w:tcPr>
          <w:p>
            <w:pPr>
              <w:spacing w:after="0"/>
              <w:jc w:val="left"/>
            </w:pPr>
            <w:r>
              <w:rPr>
                <w:rFonts w:ascii="Calibri" w:hAnsi="Calibri"/>
                <w:b/>
                <w:color w:val="FFFFFF"/>
                <w:sz w:val="19"/>
              </w:rPr>
              <w:t>Écran</w:t>
            </w:r>
          </w:p>
        </w:tc>
        <w:tc>
          <w:tcPr>
            <w:tcW w:type="dxa" w:w="5904"/>
            <w:shd w:fill="0F172A"/>
            <w:tcMar>
              <w:top w:w="80" w:type="dxa"/>
              <w:start w:w="120" w:type="dxa"/>
              <w:bottom w:w="80" w:type="dxa"/>
              <w:end w:w="120" w:type="dxa"/>
            </w:tcMar>
            <w:vAlign w:val="center"/>
          </w:tcPr>
          <w:p>
            <w:pPr>
              <w:spacing w:after="0"/>
              <w:jc w:val="left"/>
            </w:pPr>
            <w:r>
              <w:rPr>
                <w:rFonts w:ascii="Calibri" w:hAnsi="Calibri"/>
                <w:b/>
                <w:color w:val="FFFFFF"/>
                <w:sz w:val="19"/>
              </w:rPr>
              <w:t>Ce qu’il faut montrer</w:t>
            </w:r>
          </w:p>
        </w:tc>
      </w:tr>
      <w:tr>
        <w:tc>
          <w:tcPr>
            <w:tcW w:type="dxa" w:w="1656"/>
            <w:tcMar>
              <w:top w:w="80" w:type="dxa"/>
              <w:start w:w="120" w:type="dxa"/>
              <w:bottom w:w="80" w:type="dxa"/>
              <w:end w:w="120" w:type="dxa"/>
            </w:tcMar>
            <w:vAlign w:val="center"/>
          </w:tcPr>
          <w:p>
            <w:pPr>
              <w:spacing w:after="0" w:line="264" w:lineRule="auto"/>
              <w:jc w:val="left"/>
            </w:pPr>
            <w:r>
              <w:rPr>
                <w:rFonts w:ascii="Calibri" w:hAnsi="Calibri"/>
                <w:b/>
                <w:color w:val="0F172A"/>
                <w:sz w:val="19"/>
              </w:rPr>
              <w:t>00:00 - 00:45</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color w:val="0F172A"/>
                <w:sz w:val="19"/>
              </w:rPr>
              <w:t>Accueil</w:t>
            </w:r>
          </w:p>
        </w:tc>
        <w:tc>
          <w:tcPr>
            <w:tcW w:type="dxa" w:w="5904"/>
            <w:tcMar>
              <w:top w:w="80" w:type="dxa"/>
              <w:start w:w="120" w:type="dxa"/>
              <w:bottom w:w="80" w:type="dxa"/>
              <w:end w:w="120" w:type="dxa"/>
            </w:tcMar>
            <w:vAlign w:val="center"/>
          </w:tcPr>
          <w:p>
            <w:pPr>
              <w:spacing w:after="0" w:line="264" w:lineRule="auto"/>
              <w:jc w:val="left"/>
            </w:pPr>
            <w:r>
              <w:rPr>
                <w:rFonts w:ascii="Calibri" w:hAnsi="Calibri"/>
                <w:b w:val="0"/>
                <w:color w:val="0F172A"/>
                <w:sz w:val="19"/>
              </w:rPr>
              <w:t>Montrer la promesse, la gratuité, l’accès sans compte et le bouton d’urgence.</w:t>
            </w:r>
          </w:p>
        </w:tc>
      </w:tr>
      <w:tr>
        <w:tc>
          <w:tcPr>
            <w:tcW w:type="dxa" w:w="1656"/>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00:45 - 01:30</w:t>
            </w:r>
          </w:p>
        </w:tc>
        <w:tc>
          <w:tcPr>
            <w:tcW w:type="dxa" w:w="1800"/>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Choix du diagnostic</w:t>
            </w:r>
          </w:p>
        </w:tc>
        <w:tc>
          <w:tcPr>
            <w:tcW w:type="dxa" w:w="5904"/>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Sélectionner le diagnostic de référence puis le mode « pour moi » ou « pour un proche ».</w:t>
            </w:r>
          </w:p>
        </w:tc>
      </w:tr>
      <w:tr>
        <w:tc>
          <w:tcPr>
            <w:tcW w:type="dxa" w:w="1656"/>
            <w:tcMar>
              <w:top w:w="80" w:type="dxa"/>
              <w:start w:w="120" w:type="dxa"/>
              <w:bottom w:w="80" w:type="dxa"/>
              <w:end w:w="120" w:type="dxa"/>
            </w:tcMar>
            <w:vAlign w:val="center"/>
          </w:tcPr>
          <w:p>
            <w:pPr>
              <w:spacing w:after="0" w:line="264" w:lineRule="auto"/>
              <w:jc w:val="left"/>
            </w:pPr>
            <w:r>
              <w:rPr>
                <w:rFonts w:ascii="Calibri" w:hAnsi="Calibri"/>
                <w:b/>
                <w:color w:val="0F172A"/>
                <w:sz w:val="19"/>
              </w:rPr>
              <w:t>01:30 - 03:00</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color w:val="0F172A"/>
                <w:sz w:val="19"/>
              </w:rPr>
              <w:t>Questionnaire</w:t>
            </w:r>
          </w:p>
        </w:tc>
        <w:tc>
          <w:tcPr>
            <w:tcW w:type="dxa" w:w="5904"/>
            <w:tcMar>
              <w:top w:w="80" w:type="dxa"/>
              <w:start w:w="120" w:type="dxa"/>
              <w:bottom w:w="80" w:type="dxa"/>
              <w:end w:w="120" w:type="dxa"/>
            </w:tcMar>
            <w:vAlign w:val="center"/>
          </w:tcPr>
          <w:p>
            <w:pPr>
              <w:spacing w:after="0" w:line="264" w:lineRule="auto"/>
              <w:jc w:val="left"/>
            </w:pPr>
            <w:r>
              <w:rPr>
                <w:rFonts w:ascii="Calibri" w:hAnsi="Calibri"/>
                <w:b w:val="0"/>
                <w:color w:val="0F172A"/>
                <w:sz w:val="19"/>
              </w:rPr>
              <w:t>Répondre à quelques questions de catégories différentes et montrer la progression.</w:t>
            </w:r>
          </w:p>
        </w:tc>
      </w:tr>
      <w:tr>
        <w:tc>
          <w:tcPr>
            <w:tcW w:type="dxa" w:w="1656"/>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03:00 - 03:30</w:t>
            </w:r>
          </w:p>
        </w:tc>
        <w:tc>
          <w:tcPr>
            <w:tcW w:type="dxa" w:w="1800"/>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Reprise</w:t>
            </w:r>
          </w:p>
        </w:tc>
        <w:tc>
          <w:tcPr>
            <w:tcW w:type="dxa" w:w="5904"/>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Expliquer que la progression peut être reprise sur le même appareil.</w:t>
            </w:r>
          </w:p>
        </w:tc>
      </w:tr>
      <w:tr>
        <w:tc>
          <w:tcPr>
            <w:tcW w:type="dxa" w:w="1656"/>
            <w:tcMar>
              <w:top w:w="80" w:type="dxa"/>
              <w:start w:w="120" w:type="dxa"/>
              <w:bottom w:w="80" w:type="dxa"/>
              <w:end w:w="120" w:type="dxa"/>
            </w:tcMar>
            <w:vAlign w:val="center"/>
          </w:tcPr>
          <w:p>
            <w:pPr>
              <w:spacing w:after="0" w:line="264" w:lineRule="auto"/>
              <w:jc w:val="left"/>
            </w:pPr>
            <w:r>
              <w:rPr>
                <w:rFonts w:ascii="Calibri" w:hAnsi="Calibri"/>
                <w:b/>
                <w:color w:val="0F172A"/>
                <w:sz w:val="19"/>
              </w:rPr>
              <w:t>03:30 - 04:45</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color w:val="0F172A"/>
                <w:sz w:val="19"/>
              </w:rPr>
              <w:t>Résultat</w:t>
            </w:r>
          </w:p>
        </w:tc>
        <w:tc>
          <w:tcPr>
            <w:tcW w:type="dxa" w:w="5904"/>
            <w:tcMar>
              <w:top w:w="80" w:type="dxa"/>
              <w:start w:w="120" w:type="dxa"/>
              <w:bottom w:w="80" w:type="dxa"/>
              <w:end w:w="120" w:type="dxa"/>
            </w:tcMar>
            <w:vAlign w:val="center"/>
          </w:tcPr>
          <w:p>
            <w:pPr>
              <w:spacing w:after="0" w:line="264" w:lineRule="auto"/>
              <w:jc w:val="left"/>
            </w:pPr>
            <w:r>
              <w:rPr>
                <w:rFonts w:ascii="Calibri" w:hAnsi="Calibri"/>
                <w:b w:val="0"/>
                <w:color w:val="0F172A"/>
                <w:sz w:val="19"/>
              </w:rPr>
              <w:t>Ouvrir un résultat préparé; montrer le niveau global et les catégories.</w:t>
            </w:r>
          </w:p>
        </w:tc>
      </w:tr>
      <w:tr>
        <w:tc>
          <w:tcPr>
            <w:tcW w:type="dxa" w:w="1656"/>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04:45 - 05:30</w:t>
            </w:r>
          </w:p>
        </w:tc>
        <w:tc>
          <w:tcPr>
            <w:tcW w:type="dxa" w:w="1800"/>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Orientation</w:t>
            </w:r>
          </w:p>
        </w:tc>
        <w:tc>
          <w:tcPr>
            <w:tcW w:type="dxa" w:w="5904"/>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Sélectionner un pays, rechercher une ressource et montrer l’urgence.</w:t>
            </w:r>
          </w:p>
        </w:tc>
      </w:tr>
      <w:tr>
        <w:tc>
          <w:tcPr>
            <w:tcW w:type="dxa" w:w="1656"/>
            <w:tcMar>
              <w:top w:w="80" w:type="dxa"/>
              <w:start w:w="120" w:type="dxa"/>
              <w:bottom w:w="80" w:type="dxa"/>
              <w:end w:w="120" w:type="dxa"/>
            </w:tcMar>
            <w:vAlign w:val="center"/>
          </w:tcPr>
          <w:p>
            <w:pPr>
              <w:spacing w:after="0" w:line="264" w:lineRule="auto"/>
              <w:jc w:val="left"/>
            </w:pPr>
            <w:r>
              <w:rPr>
                <w:rFonts w:ascii="Calibri" w:hAnsi="Calibri"/>
                <w:b/>
                <w:color w:val="0F172A"/>
                <w:sz w:val="19"/>
              </w:rPr>
              <w:t>05:30 - 06:00</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color w:val="0F172A"/>
                <w:sz w:val="19"/>
              </w:rPr>
              <w:t>Partage</w:t>
            </w:r>
          </w:p>
        </w:tc>
        <w:tc>
          <w:tcPr>
            <w:tcW w:type="dxa" w:w="5904"/>
            <w:tcMar>
              <w:top w:w="80" w:type="dxa"/>
              <w:start w:w="120" w:type="dxa"/>
              <w:bottom w:w="80" w:type="dxa"/>
              <w:end w:w="120" w:type="dxa"/>
            </w:tcMar>
            <w:vAlign w:val="center"/>
          </w:tcPr>
          <w:p>
            <w:pPr>
              <w:spacing w:after="0" w:line="264" w:lineRule="auto"/>
              <w:jc w:val="left"/>
            </w:pPr>
            <w:r>
              <w:rPr>
                <w:rFonts w:ascii="Calibri" w:hAnsi="Calibri"/>
                <w:b w:val="0"/>
                <w:color w:val="0F172A"/>
                <w:sz w:val="19"/>
              </w:rPr>
              <w:t>Générer l’image du résultat et rappeler les précautions de sécurité.</w:t>
            </w:r>
          </w:p>
        </w:tc>
      </w:tr>
      <w:tr>
        <w:tc>
          <w:tcPr>
            <w:tcW w:type="dxa" w:w="1656"/>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06:00 - 07:00</w:t>
            </w:r>
          </w:p>
        </w:tc>
        <w:tc>
          <w:tcPr>
            <w:tcW w:type="dxa" w:w="1800"/>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Administration</w:t>
            </w:r>
          </w:p>
        </w:tc>
        <w:tc>
          <w:tcPr>
            <w:tcW w:type="dxa" w:w="5904"/>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Montrer les statistiques, diagnostics, ressources et permissions modulaires.</w:t>
            </w:r>
          </w:p>
        </w:tc>
      </w:tr>
    </w:tbl>
    <w:p>
      <w:pPr>
        <w:spacing w:after="40"/>
      </w:pPr>
    </w:p>
    <w:p>
      <w:pPr>
        <w:spacing w:before="80" w:after="200" w:line="288" w:lineRule="auto"/>
        <w:ind w:left="144" w:right="144"/>
        <w:shd w:fill="FFFBEB"/>
        <w:pBdr>
          <w:left w:val="single" w:sz="20" w:space="10" w:color="92400E"/>
        </w:pBdr>
      </w:pPr>
      <w:r>
        <w:rPr>
          <w:rFonts w:ascii="Calibri" w:hAnsi="Calibri"/>
          <w:b/>
          <w:color w:val="0F172A"/>
          <w:sz w:val="22"/>
        </w:rPr>
        <w:t xml:space="preserve">Préparation: </w:t>
      </w:r>
      <w:r>
        <w:rPr>
          <w:rFonts w:ascii="Calibri" w:hAnsi="Calibri"/>
          <w:color w:val="0F172A"/>
          <w:sz w:val="22"/>
        </w:rPr>
        <w:t>Créer à l’avance un résultat de démonstration, vérifier les ressources et désactiver toute notification pouvant révéler de vraies données pendant la réunion.</w:t>
      </w:r>
    </w:p>
    <w:p>
      <w:r>
        <w:br w:type="page"/>
      </w:r>
    </w:p>
    <w:p>
      <w:pPr>
        <w:spacing w:before="0" w:after="120"/>
        <w:jc w:val="left"/>
      </w:pPr>
      <w:r>
        <w:rPr>
          <w:rFonts w:ascii="Calibri" w:hAnsi="Calibri"/>
          <w:b/>
          <w:color w:val="EB5F2A"/>
          <w:sz w:val="18"/>
        </w:rPr>
        <w:t>ANNEXE 3</w:t>
      </w:r>
    </w:p>
    <w:p>
      <w:pPr>
        <w:pStyle w:val="Heading1"/>
      </w:pPr>
      <w:r>
        <w:t>Questions fréquentes des partenaires</w:t>
      </w:r>
    </w:p>
    <w:p>
      <w:pPr>
        <w:keepNext/>
        <w:spacing w:after="40"/>
      </w:pPr>
      <w:r>
        <w:rPr>
          <w:rFonts w:ascii="Calibri" w:hAnsi="Calibri"/>
          <w:b/>
          <w:color w:val="1F4D78"/>
          <w:sz w:val="22"/>
        </w:rPr>
        <w:t>La plateforme remplace-t-elle une professionnelle?</w:t>
      </w:r>
    </w:p>
    <w:p>
      <w:pPr>
        <w:spacing w:after="160"/>
      </w:pPr>
      <w:r>
        <w:t>Non. Elle soutient le repérage et l’orientation. Elle ne remplace ni la prise en charge médicale, psychologique, sociale ou juridique, ni les services d’urgence.</w:t>
      </w:r>
    </w:p>
    <w:p>
      <w:pPr>
        <w:keepNext/>
        <w:spacing w:after="40"/>
      </w:pPr>
      <w:r>
        <w:rPr>
          <w:rFonts w:ascii="Calibri" w:hAnsi="Calibri"/>
          <w:b/>
          <w:color w:val="1F4D78"/>
          <w:sz w:val="22"/>
        </w:rPr>
        <w:t>Le résultat est-il un diagnostic médical?</w:t>
      </w:r>
    </w:p>
    <w:p>
      <w:pPr>
        <w:spacing w:after="160"/>
      </w:pPr>
      <w:r>
        <w:t>Non. Il s’agit d’un niveau d’orientation issu de règles de score. Les seuils et messages doivent être validés par un comité d’expertes et experts.</w:t>
      </w:r>
    </w:p>
    <w:p>
      <w:pPr>
        <w:keepNext/>
        <w:spacing w:after="40"/>
      </w:pPr>
      <w:r>
        <w:rPr>
          <w:rFonts w:ascii="Calibri" w:hAnsi="Calibri"/>
          <w:b/>
          <w:color w:val="1F4D78"/>
          <w:sz w:val="22"/>
        </w:rPr>
        <w:t>Faut-il créer un compte?</w:t>
      </w:r>
    </w:p>
    <w:p>
      <w:pPr>
        <w:spacing w:after="160"/>
      </w:pPr>
      <w:r>
        <w:t>Non. Le diagnostic peut être réalisé sans compte. Le compte sert uniquement à conserver un historique personnel lorsque la personne le choisit.</w:t>
      </w:r>
    </w:p>
    <w:p>
      <w:pPr>
        <w:keepNext/>
        <w:spacing w:after="40"/>
      </w:pPr>
      <w:r>
        <w:rPr>
          <w:rFonts w:ascii="Calibri" w:hAnsi="Calibri"/>
          <w:b/>
          <w:color w:val="1F4D78"/>
          <w:sz w:val="22"/>
        </w:rPr>
        <w:t>La plateforme est-elle totalement anonyme?</w:t>
      </w:r>
    </w:p>
    <w:p>
      <w:pPr>
        <w:spacing w:after="160"/>
      </w:pPr>
      <w:r>
        <w:t>Elle est accessible sans identité déclarée, mais elle utilise des données techniques de session pour fonctionner et mesurer les parcours. La gouvernance de ces données doit être formalisée et auditée.</w:t>
      </w:r>
    </w:p>
    <w:p>
      <w:pPr>
        <w:keepNext/>
        <w:spacing w:after="40"/>
      </w:pPr>
      <w:r>
        <w:rPr>
          <w:rFonts w:ascii="Calibri" w:hAnsi="Calibri"/>
          <w:b/>
          <w:color w:val="1F4D78"/>
          <w:sz w:val="22"/>
        </w:rPr>
        <w:t>Que se passe-t-il en cas de danger?</w:t>
      </w:r>
    </w:p>
    <w:p>
      <w:pPr>
        <w:spacing w:after="160"/>
      </w:pPr>
      <w:r>
        <w:t>Le résultat affiche un message de sécurité, des ressources et le numéro d’urgence du pays. La plateforme ne peut toutefois pas garantir une intervention automatique.</w:t>
      </w:r>
    </w:p>
    <w:p>
      <w:pPr>
        <w:keepNext/>
        <w:spacing w:after="40"/>
      </w:pPr>
      <w:r>
        <w:rPr>
          <w:rFonts w:ascii="Calibri" w:hAnsi="Calibri"/>
          <w:b/>
          <w:color w:val="1F4D78"/>
          <w:sz w:val="22"/>
        </w:rPr>
        <w:t>Comment les ressources sont-elles vérifiées?</w:t>
      </w:r>
    </w:p>
    <w:p>
      <w:pPr>
        <w:spacing w:after="160"/>
      </w:pPr>
      <w:r>
        <w:t>La base est administrable. Le pilote doit instaurer un responsable par territoire, un calendrier de vérification et un protocole avec les structures référencées.</w:t>
      </w:r>
    </w:p>
    <w:p>
      <w:pPr>
        <w:keepNext/>
        <w:spacing w:after="40"/>
      </w:pPr>
      <w:r>
        <w:rPr>
          <w:rFonts w:ascii="Calibri" w:hAnsi="Calibri"/>
          <w:b/>
          <w:color w:val="1F4D78"/>
          <w:sz w:val="22"/>
        </w:rPr>
        <w:t>Quelles données les partenaires verront-ils?</w:t>
      </w:r>
    </w:p>
    <w:p>
      <w:pPr>
        <w:spacing w:after="160"/>
      </w:pPr>
      <w:r>
        <w:t>Par défaut, des indicateurs agrégés liés au pilote. L’accès aux réponses individuelles n’est ni nécessaire ni recommandé pour le suivi partenaire.</w:t>
      </w:r>
    </w:p>
    <w:p>
      <w:pPr>
        <w:keepNext/>
        <w:spacing w:after="40"/>
      </w:pPr>
      <w:r>
        <w:rPr>
          <w:rFonts w:ascii="Calibri" w:hAnsi="Calibri"/>
          <w:b/>
          <w:color w:val="1F4D78"/>
          <w:sz w:val="22"/>
        </w:rPr>
        <w:t>Peut-on adapter le questionnaire?</w:t>
      </w:r>
    </w:p>
    <w:p>
      <w:pPr>
        <w:spacing w:after="160"/>
      </w:pPr>
      <w:r>
        <w:t>Oui. Les diagnostics, catégories, questions, options, icônes, statuts et versions sont administrables.</w:t>
      </w:r>
    </w:p>
    <w:p>
      <w:pPr>
        <w:keepNext/>
        <w:spacing w:after="40"/>
      </w:pPr>
      <w:r>
        <w:rPr>
          <w:rFonts w:ascii="Calibri" w:hAnsi="Calibri"/>
          <w:b/>
          <w:color w:val="1F4D78"/>
          <w:sz w:val="22"/>
        </w:rPr>
        <w:t>Peut-on mesurer une campagne?</w:t>
      </w:r>
    </w:p>
    <w:p>
      <w:pPr>
        <w:spacing w:after="160"/>
      </w:pPr>
      <w:r>
        <w:t>Oui. La plateforme capture les sources, référents et paramètres UTM, puis les relie aux pages vues et aux parcours de diagnostic.</w:t>
      </w:r>
    </w:p>
    <w:p>
      <w:r>
        <w:br w:type="page"/>
      </w:r>
    </w:p>
    <w:p>
      <w:pPr>
        <w:spacing w:before="0" w:after="120"/>
        <w:jc w:val="left"/>
      </w:pPr>
      <w:r>
        <w:rPr>
          <w:rFonts w:ascii="Calibri" w:hAnsi="Calibri"/>
          <w:b/>
          <w:color w:val="EB5F2A"/>
          <w:sz w:val="18"/>
        </w:rPr>
        <w:t>ANNEXE 3 (SUITE)</w:t>
      </w:r>
    </w:p>
    <w:p>
      <w:pPr>
        <w:pStyle w:val="Heading1"/>
      </w:pPr>
      <w:r>
        <w:t>Questions fréquentes des partenaires (suite)</w:t>
      </w:r>
    </w:p>
    <w:p>
      <w:pPr>
        <w:keepNext/>
        <w:spacing w:after="40"/>
      </w:pPr>
      <w:r>
        <w:rPr>
          <w:rFonts w:ascii="Calibri" w:hAnsi="Calibri"/>
          <w:b/>
          <w:color w:val="1F4D78"/>
          <w:sz w:val="22"/>
        </w:rPr>
        <w:t>La solution peut-elle être déployée dans d’autres pays?</w:t>
      </w:r>
    </w:p>
    <w:p>
      <w:pPr>
        <w:spacing w:after="160"/>
      </w:pPr>
      <w:r>
        <w:t>L’architecture le permet, mais chaque territoire exige une validation des contenus, langues, ressources, urgences et règles juridiques.</w:t>
      </w:r>
    </w:p>
    <w:p>
      <w:pPr>
        <w:keepNext/>
        <w:spacing w:after="40"/>
      </w:pPr>
      <w:r>
        <w:rPr>
          <w:rFonts w:ascii="Calibri" w:hAnsi="Calibri"/>
          <w:b/>
          <w:color w:val="1F4D78"/>
          <w:sz w:val="22"/>
        </w:rPr>
        <w:t>Quel est le coût?</w:t>
      </w:r>
    </w:p>
    <w:p>
      <w:pPr>
        <w:spacing w:after="160"/>
      </w:pPr>
      <w:r>
        <w:t>Il dépend du périmètre. Le budget doit couvrir le produit, l’expertise, la sécurité, la cartographie des services, la campagne, la formation, le support et l’évaluation.</w:t>
      </w:r>
    </w:p>
    <w:p>
      <w:pPr>
        <w:keepNext/>
        <w:spacing w:after="40"/>
      </w:pPr>
      <w:r>
        <w:rPr>
          <w:rFonts w:ascii="Calibri" w:hAnsi="Calibri"/>
          <w:b/>
          <w:color w:val="1F4D78"/>
          <w:sz w:val="22"/>
        </w:rPr>
        <w:t>Quelle décision attendez-vous aujourd’hui?</w:t>
      </w:r>
    </w:p>
    <w:p>
      <w:pPr>
        <w:spacing w:after="160"/>
      </w:pPr>
      <w:r>
        <w:t>La désignation d’un point focal et l’accord pour un atelier de cadrage conduisant à une note conceptuelle et un budget de pilote.</w:t>
      </w:r>
    </w:p>
    <w:p>
      <w:r>
        <w:br w:type="page"/>
      </w:r>
    </w:p>
    <w:p>
      <w:pPr>
        <w:spacing w:before="0" w:after="120"/>
        <w:jc w:val="left"/>
      </w:pPr>
      <w:r>
        <w:rPr>
          <w:rFonts w:ascii="Calibri" w:hAnsi="Calibri"/>
          <w:b/>
          <w:color w:val="EB5F2A"/>
          <w:sz w:val="18"/>
        </w:rPr>
        <w:t>ANNEXE 4</w:t>
      </w:r>
    </w:p>
    <w:p>
      <w:pPr>
        <w:pStyle w:val="Heading1"/>
      </w:pPr>
      <w:r>
        <w:t>Plan de conversion en PowerPoint</w:t>
      </w:r>
    </w:p>
    <w:p>
      <w:pPr>
        <w:pStyle w:val="Heading2"/>
      </w:pPr>
      <w:r>
        <w:t>Diapositives 1 à 7</w:t>
      </w:r>
    </w:p>
    <w:tbl>
      <w:tblPr>
        <w:tblStyle w:val="TableGrid"/>
        <w:tblW w:type="dxa" w:w="9360"/>
        <w:jc w:val="left"/>
        <w:tblLayout w:type="fixed"/>
        <w:tblLook w:firstColumn="1" w:firstRow="1" w:lastColumn="0" w:lastRow="0" w:noHBand="0" w:noVBand="1" w:val="04A0"/>
        <w:tblInd w:w="120" w:type="dxa"/>
      </w:tblPr>
      <w:tblGrid>
        <w:gridCol w:w="648"/>
        <w:gridCol w:w="2448"/>
        <w:gridCol w:w="3672"/>
        <w:gridCol w:w="2592"/>
      </w:tblGrid>
      <w:tr>
        <w:trPr>
          <w:tblHeader w:val="true"/>
        </w:trPr>
        <w:tc>
          <w:tcPr>
            <w:tcW w:type="dxa" w:w="648"/>
            <w:shd w:fill="0F172A"/>
            <w:tcMar>
              <w:top w:w="80" w:type="dxa"/>
              <w:start w:w="120" w:type="dxa"/>
              <w:bottom w:w="80" w:type="dxa"/>
              <w:end w:w="120" w:type="dxa"/>
            </w:tcMar>
            <w:vAlign w:val="center"/>
          </w:tcPr>
          <w:p>
            <w:pPr>
              <w:spacing w:after="0"/>
              <w:jc w:val="left"/>
            </w:pPr>
            <w:r>
              <w:rPr>
                <w:rFonts w:ascii="Calibri" w:hAnsi="Calibri"/>
                <w:b/>
                <w:color w:val="FFFFFF"/>
                <w:sz w:val="19"/>
              </w:rPr>
              <w:t>No</w:t>
            </w:r>
          </w:p>
        </w:tc>
        <w:tc>
          <w:tcPr>
            <w:tcW w:type="dxa" w:w="2448"/>
            <w:shd w:fill="0F172A"/>
            <w:tcMar>
              <w:top w:w="80" w:type="dxa"/>
              <w:start w:w="120" w:type="dxa"/>
              <w:bottom w:w="80" w:type="dxa"/>
              <w:end w:w="120" w:type="dxa"/>
            </w:tcMar>
            <w:vAlign w:val="center"/>
          </w:tcPr>
          <w:p>
            <w:pPr>
              <w:spacing w:after="0"/>
              <w:jc w:val="left"/>
            </w:pPr>
            <w:r>
              <w:rPr>
                <w:rFonts w:ascii="Calibri" w:hAnsi="Calibri"/>
                <w:b/>
                <w:color w:val="FFFFFF"/>
                <w:sz w:val="19"/>
              </w:rPr>
              <w:t>Titre</w:t>
            </w:r>
          </w:p>
        </w:tc>
        <w:tc>
          <w:tcPr>
            <w:tcW w:type="dxa" w:w="3672"/>
            <w:shd w:fill="0F172A"/>
            <w:tcMar>
              <w:top w:w="80" w:type="dxa"/>
              <w:start w:w="120" w:type="dxa"/>
              <w:bottom w:w="80" w:type="dxa"/>
              <w:end w:w="120" w:type="dxa"/>
            </w:tcMar>
            <w:vAlign w:val="center"/>
          </w:tcPr>
          <w:p>
            <w:pPr>
              <w:spacing w:after="0"/>
              <w:jc w:val="left"/>
            </w:pPr>
            <w:r>
              <w:rPr>
                <w:rFonts w:ascii="Calibri" w:hAnsi="Calibri"/>
                <w:b/>
                <w:color w:val="FFFFFF"/>
                <w:sz w:val="19"/>
              </w:rPr>
              <w:t>Phrase centrale</w:t>
            </w:r>
          </w:p>
        </w:tc>
        <w:tc>
          <w:tcPr>
            <w:tcW w:type="dxa" w:w="2592"/>
            <w:shd w:fill="0F172A"/>
            <w:tcMar>
              <w:top w:w="80" w:type="dxa"/>
              <w:start w:w="120" w:type="dxa"/>
              <w:bottom w:w="80" w:type="dxa"/>
              <w:end w:w="120" w:type="dxa"/>
            </w:tcMar>
            <w:vAlign w:val="center"/>
          </w:tcPr>
          <w:p>
            <w:pPr>
              <w:spacing w:after="0"/>
              <w:jc w:val="left"/>
            </w:pPr>
            <w:r>
              <w:rPr>
                <w:rFonts w:ascii="Calibri" w:hAnsi="Calibri"/>
                <w:b/>
                <w:color w:val="FFFFFF"/>
                <w:sz w:val="19"/>
              </w:rPr>
              <w:t>Visuel</w:t>
            </w:r>
          </w:p>
        </w:tc>
      </w:tr>
      <w:tr>
        <w:tc>
          <w:tcPr>
            <w:tcW w:type="dxa" w:w="648"/>
            <w:tcMar>
              <w:top w:w="80" w:type="dxa"/>
              <w:start w:w="120" w:type="dxa"/>
              <w:bottom w:w="80" w:type="dxa"/>
              <w:end w:w="120" w:type="dxa"/>
            </w:tcMar>
            <w:vAlign w:val="center"/>
          </w:tcPr>
          <w:p>
            <w:pPr>
              <w:spacing w:after="0" w:line="264" w:lineRule="auto"/>
              <w:jc w:val="left"/>
            </w:pPr>
            <w:r>
              <w:rPr>
                <w:rFonts w:ascii="Calibri" w:hAnsi="Calibri"/>
                <w:b/>
                <w:color w:val="0F172A"/>
                <w:sz w:val="19"/>
              </w:rPr>
              <w:t>1</w:t>
            </w:r>
          </w:p>
        </w:tc>
        <w:tc>
          <w:tcPr>
            <w:tcW w:type="dxa" w:w="2448"/>
            <w:tcMar>
              <w:top w:w="80" w:type="dxa"/>
              <w:start w:w="120" w:type="dxa"/>
              <w:bottom w:w="80" w:type="dxa"/>
              <w:end w:w="120" w:type="dxa"/>
            </w:tcMar>
            <w:vAlign w:val="center"/>
          </w:tcPr>
          <w:p>
            <w:pPr>
              <w:spacing w:after="0" w:line="264" w:lineRule="auto"/>
              <w:jc w:val="left"/>
            </w:pPr>
            <w:r>
              <w:rPr>
                <w:rFonts w:ascii="Calibri" w:hAnsi="Calibri"/>
                <w:b w:val="0"/>
                <w:color w:val="0F172A"/>
                <w:sz w:val="19"/>
              </w:rPr>
              <w:t>Rendre visible ce qui reste souvent invisible</w:t>
            </w:r>
          </w:p>
        </w:tc>
        <w:tc>
          <w:tcPr>
            <w:tcW w:type="dxa" w:w="3672"/>
            <w:tcMar>
              <w:top w:w="80" w:type="dxa"/>
              <w:start w:w="120" w:type="dxa"/>
              <w:bottom w:w="80" w:type="dxa"/>
              <w:end w:w="120" w:type="dxa"/>
            </w:tcMar>
            <w:vAlign w:val="center"/>
          </w:tcPr>
          <w:p>
            <w:pPr>
              <w:spacing w:after="0" w:line="264" w:lineRule="auto"/>
              <w:jc w:val="left"/>
            </w:pPr>
            <w:r>
              <w:rPr>
                <w:rFonts w:ascii="Calibri" w:hAnsi="Calibri"/>
                <w:b w:val="0"/>
                <w:color w:val="0F172A"/>
                <w:sz w:val="19"/>
              </w:rPr>
              <w:t>ALERTE VIOLENCE aide une personne à reconnaître des signaux de violence, à comprendre son niveau de risque et à trouver une aide adaptée.</w:t>
            </w:r>
          </w:p>
        </w:tc>
        <w:tc>
          <w:tcPr>
            <w:tcW w:type="dxa" w:w="2592"/>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Une phrase centrale sur fond sobre, accompagnée d’un chemin en trois mots: reconnaître, comprendre, agir.</w:t>
            </w:r>
          </w:p>
        </w:tc>
      </w:tr>
      <w:tr>
        <w:tc>
          <w:tcPr>
            <w:tcW w:type="dxa" w:w="648"/>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2</w:t>
            </w:r>
          </w:p>
        </w:tc>
        <w:tc>
          <w:tcPr>
            <w:tcW w:type="dxa" w:w="2448"/>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Une urgence de santé publique et de droits humains</w:t>
            </w:r>
          </w:p>
        </w:tc>
        <w:tc>
          <w:tcPr>
            <w:tcW w:type="dxa" w:w="367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Les violences faites aux femmes sont massives, souvent répétées et lourdes de conséquences physiques, psychologiques, sociales et économiques.</w:t>
            </w:r>
          </w:p>
        </w:tc>
        <w:tc>
          <w:tcPr>
            <w:tcW w:type="dxa" w:w="259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Deux chiffres forts avec leur source et leur période, puis une flèche vers le besoin: repérage précoce + orientation.</w:t>
            </w:r>
          </w:p>
        </w:tc>
      </w:tr>
      <w:tr>
        <w:tc>
          <w:tcPr>
            <w:tcW w:type="dxa" w:w="648"/>
            <w:tcMar>
              <w:top w:w="80" w:type="dxa"/>
              <w:start w:w="120" w:type="dxa"/>
              <w:bottom w:w="80" w:type="dxa"/>
              <w:end w:w="120" w:type="dxa"/>
            </w:tcMar>
            <w:vAlign w:val="center"/>
          </w:tcPr>
          <w:p>
            <w:pPr>
              <w:spacing w:after="0" w:line="264" w:lineRule="auto"/>
              <w:jc w:val="left"/>
            </w:pPr>
            <w:r>
              <w:rPr>
                <w:rFonts w:ascii="Calibri" w:hAnsi="Calibri"/>
                <w:b/>
                <w:color w:val="0F172A"/>
                <w:sz w:val="19"/>
              </w:rPr>
              <w:t>3</w:t>
            </w:r>
          </w:p>
        </w:tc>
        <w:tc>
          <w:tcPr>
            <w:tcW w:type="dxa" w:w="2448"/>
            <w:tcMar>
              <w:top w:w="80" w:type="dxa"/>
              <w:start w:w="120" w:type="dxa"/>
              <w:bottom w:w="80" w:type="dxa"/>
              <w:end w:w="120" w:type="dxa"/>
            </w:tcMar>
            <w:vAlign w:val="center"/>
          </w:tcPr>
          <w:p>
            <w:pPr>
              <w:spacing w:after="0" w:line="264" w:lineRule="auto"/>
              <w:jc w:val="left"/>
            </w:pPr>
            <w:r>
              <w:rPr>
                <w:rFonts w:ascii="Calibri" w:hAnsi="Calibri"/>
                <w:b w:val="0"/>
                <w:color w:val="0F172A"/>
                <w:sz w:val="19"/>
              </w:rPr>
              <w:t>Le problème concret: entre le vécu et l’aide, un vide persiste</w:t>
            </w:r>
          </w:p>
        </w:tc>
        <w:tc>
          <w:tcPr>
            <w:tcW w:type="dxa" w:w="3672"/>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Une personne peut être en danger sans se reconnaître comme victime, sans connaître les ressources disponibles ou sans pouvoir parler immédiatement à quelqu’un.</w:t>
            </w:r>
          </w:p>
        </w:tc>
        <w:tc>
          <w:tcPr>
            <w:tcW w:type="dxa" w:w="2592"/>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 parcours interrompu entre quatre étapes: vécu, prise de conscience, demande d’aide, prise en charge.</w:t>
            </w:r>
          </w:p>
        </w:tc>
      </w:tr>
      <w:tr>
        <w:tc>
          <w:tcPr>
            <w:tcW w:type="dxa" w:w="648"/>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4</w:t>
            </w:r>
          </w:p>
        </w:tc>
        <w:tc>
          <w:tcPr>
            <w:tcW w:type="dxa" w:w="2448"/>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La réponse proposée: un continuum numérique de prévention</w:t>
            </w:r>
          </w:p>
        </w:tc>
        <w:tc>
          <w:tcPr>
            <w:tcW w:type="dxa" w:w="367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ALERTE VIOLENCE relie sensibilisation, autoévaluation, orientation, suivi personnel et pilotage institutionnel dans une même plateforme.</w:t>
            </w:r>
          </w:p>
        </w:tc>
        <w:tc>
          <w:tcPr>
            <w:tcW w:type="dxa" w:w="259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Une boucle en cinq étapes: informer, diagnostiquer, restituer, orienter, améliorer.</w:t>
            </w:r>
          </w:p>
        </w:tc>
      </w:tr>
      <w:tr>
        <w:tc>
          <w:tcPr>
            <w:tcW w:type="dxa" w:w="648"/>
            <w:tcMar>
              <w:top w:w="80" w:type="dxa"/>
              <w:start w:w="120" w:type="dxa"/>
              <w:bottom w:w="80" w:type="dxa"/>
              <w:end w:w="120" w:type="dxa"/>
            </w:tcMar>
            <w:vAlign w:val="center"/>
          </w:tcPr>
          <w:p>
            <w:pPr>
              <w:spacing w:after="0" w:line="264" w:lineRule="auto"/>
              <w:jc w:val="left"/>
            </w:pPr>
            <w:r>
              <w:rPr>
                <w:rFonts w:ascii="Calibri" w:hAnsi="Calibri"/>
                <w:b/>
                <w:color w:val="0F172A"/>
                <w:sz w:val="19"/>
              </w:rPr>
              <w:t>5</w:t>
            </w:r>
          </w:p>
        </w:tc>
        <w:tc>
          <w:tcPr>
            <w:tcW w:type="dxa" w:w="2448"/>
            <w:tcMar>
              <w:top w:w="80" w:type="dxa"/>
              <w:start w:w="120" w:type="dxa"/>
              <w:bottom w:w="80" w:type="dxa"/>
              <w:end w:w="120" w:type="dxa"/>
            </w:tcMar>
            <w:vAlign w:val="center"/>
          </w:tcPr>
          <w:p>
            <w:pPr>
              <w:spacing w:after="0" w:line="264" w:lineRule="auto"/>
              <w:jc w:val="left"/>
            </w:pPr>
            <w:r>
              <w:rPr>
                <w:rFonts w:ascii="Calibri" w:hAnsi="Calibri"/>
                <w:b w:val="0"/>
                <w:color w:val="0F172A"/>
                <w:sz w:val="19"/>
              </w:rPr>
              <w:t>Pour qui la plateforme est-elle conçue?</w:t>
            </w:r>
          </w:p>
        </w:tc>
        <w:tc>
          <w:tcPr>
            <w:tcW w:type="dxa" w:w="3672"/>
            <w:tcMar>
              <w:top w:w="80" w:type="dxa"/>
              <w:start w:w="120" w:type="dxa"/>
              <w:bottom w:w="80" w:type="dxa"/>
              <w:end w:w="120" w:type="dxa"/>
            </w:tcMar>
            <w:vAlign w:val="center"/>
          </w:tcPr>
          <w:p>
            <w:pPr>
              <w:spacing w:after="0" w:line="264" w:lineRule="auto"/>
              <w:jc w:val="left"/>
            </w:pPr>
            <w:r>
              <w:rPr>
                <w:rFonts w:ascii="Calibri" w:hAnsi="Calibri"/>
                <w:b w:val="0"/>
                <w:color w:val="0F172A"/>
                <w:sz w:val="19"/>
              </w:rPr>
              <w:t>La plateforme sert à la fois les personnes concernées, leurs proches, les organisations d’aide et les partenaires qui financent ou coordonnent la réponse.</w:t>
            </w:r>
          </w:p>
        </w:tc>
        <w:tc>
          <w:tcPr>
            <w:tcW w:type="dxa" w:w="2592"/>
            <w:tcMar>
              <w:top w:w="80" w:type="dxa"/>
              <w:start w:w="120" w:type="dxa"/>
              <w:bottom w:w="80" w:type="dxa"/>
              <w:end w:w="120" w:type="dxa"/>
            </w:tcMar>
            <w:vAlign w:val="center"/>
          </w:tcPr>
          <w:p>
            <w:pPr>
              <w:spacing w:after="0" w:line="264" w:lineRule="auto"/>
              <w:jc w:val="left"/>
            </w:pPr>
            <w:r>
              <w:rPr>
                <w:rFonts w:ascii="Calibri" w:hAnsi="Calibri"/>
                <w:b w:val="0"/>
                <w:color w:val="0F172A"/>
                <w:sz w:val="19"/>
              </w:rPr>
              <w:t>Quatre cercles autour de la plateforme: utilisatrice, proche, professionnel, partenaire.</w:t>
            </w:r>
          </w:p>
        </w:tc>
      </w:tr>
      <w:tr>
        <w:tc>
          <w:tcPr>
            <w:tcW w:type="dxa" w:w="648"/>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6</w:t>
            </w:r>
          </w:p>
        </w:tc>
        <w:tc>
          <w:tcPr>
            <w:tcW w:type="dxa" w:w="2448"/>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Comment ça marche: le parcours en cinq étapes</w:t>
            </w:r>
          </w:p>
        </w:tc>
        <w:tc>
          <w:tcPr>
            <w:tcW w:type="dxa" w:w="367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Le parcours est volontairement court, progressif et orienté vers une décision utile.</w:t>
            </w:r>
          </w:p>
        </w:tc>
        <w:tc>
          <w:tcPr>
            <w:tcW w:type="dxa" w:w="259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Une frise numérotée de 1 à 5 avec une capture d’écran par étape.</w:t>
            </w:r>
          </w:p>
        </w:tc>
      </w:tr>
      <w:tr>
        <w:tc>
          <w:tcPr>
            <w:tcW w:type="dxa" w:w="648"/>
            <w:tcMar>
              <w:top w:w="80" w:type="dxa"/>
              <w:start w:w="120" w:type="dxa"/>
              <w:bottom w:w="80" w:type="dxa"/>
              <w:end w:w="120" w:type="dxa"/>
            </w:tcMar>
            <w:vAlign w:val="center"/>
          </w:tcPr>
          <w:p>
            <w:pPr>
              <w:spacing w:after="0" w:line="264" w:lineRule="auto"/>
              <w:jc w:val="left"/>
            </w:pPr>
            <w:r>
              <w:rPr>
                <w:rFonts w:ascii="Calibri" w:hAnsi="Calibri"/>
                <w:b/>
                <w:color w:val="0F172A"/>
                <w:sz w:val="19"/>
              </w:rPr>
              <w:t>7</w:t>
            </w:r>
          </w:p>
        </w:tc>
        <w:tc>
          <w:tcPr>
            <w:tcW w:type="dxa" w:w="2448"/>
            <w:tcMar>
              <w:top w:w="80" w:type="dxa"/>
              <w:start w:w="120" w:type="dxa"/>
              <w:bottom w:w="80" w:type="dxa"/>
              <w:end w:w="120" w:type="dxa"/>
            </w:tcMar>
            <w:vAlign w:val="center"/>
          </w:tcPr>
          <w:p>
            <w:pPr>
              <w:spacing w:after="0" w:line="264" w:lineRule="auto"/>
              <w:jc w:val="left"/>
            </w:pPr>
            <w:r>
              <w:rPr>
                <w:rFonts w:ascii="Calibri" w:hAnsi="Calibri"/>
                <w:b w:val="0"/>
                <w:color w:val="0F172A"/>
                <w:sz w:val="19"/>
              </w:rPr>
              <w:t>La logique du diagnostic</w:t>
            </w:r>
          </w:p>
        </w:tc>
        <w:tc>
          <w:tcPr>
            <w:tcW w:type="dxa" w:w="3672"/>
            <w:tcMar>
              <w:top w:w="80" w:type="dxa"/>
              <w:start w:w="120" w:type="dxa"/>
              <w:bottom w:w="80" w:type="dxa"/>
              <w:end w:w="120" w:type="dxa"/>
            </w:tcMar>
            <w:vAlign w:val="center"/>
          </w:tcPr>
          <w:p>
            <w:pPr>
              <w:spacing w:after="0" w:line="264" w:lineRule="auto"/>
              <w:jc w:val="left"/>
            </w:pPr>
            <w:r>
              <w:rPr>
                <w:rFonts w:ascii="Calibri" w:hAnsi="Calibri"/>
                <w:b w:val="0"/>
                <w:color w:val="0F172A"/>
                <w:sz w:val="19"/>
              </w:rPr>
              <w:t>Le questionnaire rend observables plusieurs familles de signaux et transforme les réponses en trois niveaux de vigilance compréhensibles.</w:t>
            </w:r>
          </w:p>
        </w:tc>
        <w:tc>
          <w:tcPr>
            <w:tcW w:type="dxa" w:w="2592"/>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Une jauge en trois zones avec les seuils et les messages associés.</w:t>
            </w:r>
          </w:p>
        </w:tc>
      </w:tr>
    </w:tbl>
    <w:p>
      <w:pPr>
        <w:spacing w:after="40"/>
      </w:pPr>
    </w:p>
    <w:p>
      <w:r>
        <w:br w:type="page"/>
      </w:r>
    </w:p>
    <w:p>
      <w:pPr>
        <w:spacing w:before="0" w:after="120"/>
        <w:jc w:val="left"/>
      </w:pPr>
      <w:r>
        <w:rPr>
          <w:rFonts w:ascii="Calibri" w:hAnsi="Calibri"/>
          <w:b/>
          <w:color w:val="EB5F2A"/>
          <w:sz w:val="18"/>
        </w:rPr>
        <w:t>ANNEXE 4 (SUITE)</w:t>
      </w:r>
    </w:p>
    <w:p>
      <w:pPr>
        <w:pStyle w:val="Heading2"/>
      </w:pPr>
      <w:r>
        <w:t>Diapositives 8 à 14</w:t>
      </w:r>
    </w:p>
    <w:tbl>
      <w:tblPr>
        <w:tblStyle w:val="TableGrid"/>
        <w:tblW w:type="dxa" w:w="9360"/>
        <w:jc w:val="left"/>
        <w:tblLayout w:type="fixed"/>
        <w:tblLook w:firstColumn="1" w:firstRow="1" w:lastColumn="0" w:lastRow="0" w:noHBand="0" w:noVBand="1" w:val="04A0"/>
        <w:tblInd w:w="120" w:type="dxa"/>
      </w:tblPr>
      <w:tblGrid>
        <w:gridCol w:w="648"/>
        <w:gridCol w:w="2448"/>
        <w:gridCol w:w="3672"/>
        <w:gridCol w:w="2592"/>
      </w:tblGrid>
      <w:tr>
        <w:trPr>
          <w:tblHeader w:val="true"/>
        </w:trPr>
        <w:tc>
          <w:tcPr>
            <w:tcW w:type="dxa" w:w="648"/>
            <w:shd w:fill="0F172A"/>
            <w:tcMar>
              <w:top w:w="80" w:type="dxa"/>
              <w:start w:w="120" w:type="dxa"/>
              <w:bottom w:w="80" w:type="dxa"/>
              <w:end w:w="120" w:type="dxa"/>
            </w:tcMar>
            <w:vAlign w:val="center"/>
          </w:tcPr>
          <w:p>
            <w:pPr>
              <w:spacing w:after="0"/>
              <w:jc w:val="left"/>
            </w:pPr>
            <w:r>
              <w:rPr>
                <w:rFonts w:ascii="Calibri" w:hAnsi="Calibri"/>
                <w:b/>
                <w:color w:val="FFFFFF"/>
                <w:sz w:val="19"/>
              </w:rPr>
              <w:t>No</w:t>
            </w:r>
          </w:p>
        </w:tc>
        <w:tc>
          <w:tcPr>
            <w:tcW w:type="dxa" w:w="2448"/>
            <w:shd w:fill="0F172A"/>
            <w:tcMar>
              <w:top w:w="80" w:type="dxa"/>
              <w:start w:w="120" w:type="dxa"/>
              <w:bottom w:w="80" w:type="dxa"/>
              <w:end w:w="120" w:type="dxa"/>
            </w:tcMar>
            <w:vAlign w:val="center"/>
          </w:tcPr>
          <w:p>
            <w:pPr>
              <w:spacing w:after="0"/>
              <w:jc w:val="left"/>
            </w:pPr>
            <w:r>
              <w:rPr>
                <w:rFonts w:ascii="Calibri" w:hAnsi="Calibri"/>
                <w:b/>
                <w:color w:val="FFFFFF"/>
                <w:sz w:val="19"/>
              </w:rPr>
              <w:t>Titre</w:t>
            </w:r>
          </w:p>
        </w:tc>
        <w:tc>
          <w:tcPr>
            <w:tcW w:type="dxa" w:w="3672"/>
            <w:shd w:fill="0F172A"/>
            <w:tcMar>
              <w:top w:w="80" w:type="dxa"/>
              <w:start w:w="120" w:type="dxa"/>
              <w:bottom w:w="80" w:type="dxa"/>
              <w:end w:w="120" w:type="dxa"/>
            </w:tcMar>
            <w:vAlign w:val="center"/>
          </w:tcPr>
          <w:p>
            <w:pPr>
              <w:spacing w:after="0"/>
              <w:jc w:val="left"/>
            </w:pPr>
            <w:r>
              <w:rPr>
                <w:rFonts w:ascii="Calibri" w:hAnsi="Calibri"/>
                <w:b/>
                <w:color w:val="FFFFFF"/>
                <w:sz w:val="19"/>
              </w:rPr>
              <w:t>Phrase centrale</w:t>
            </w:r>
          </w:p>
        </w:tc>
        <w:tc>
          <w:tcPr>
            <w:tcW w:type="dxa" w:w="2592"/>
            <w:shd w:fill="0F172A"/>
            <w:tcMar>
              <w:top w:w="80" w:type="dxa"/>
              <w:start w:w="120" w:type="dxa"/>
              <w:bottom w:w="80" w:type="dxa"/>
              <w:end w:w="120" w:type="dxa"/>
            </w:tcMar>
            <w:vAlign w:val="center"/>
          </w:tcPr>
          <w:p>
            <w:pPr>
              <w:spacing w:after="0"/>
              <w:jc w:val="left"/>
            </w:pPr>
            <w:r>
              <w:rPr>
                <w:rFonts w:ascii="Calibri" w:hAnsi="Calibri"/>
                <w:b/>
                <w:color w:val="FFFFFF"/>
                <w:sz w:val="19"/>
              </w:rPr>
              <w:t>Visuel</w:t>
            </w:r>
          </w:p>
        </w:tc>
      </w:tr>
      <w:tr>
        <w:tc>
          <w:tcPr>
            <w:tcW w:type="dxa" w:w="648"/>
            <w:tcMar>
              <w:top w:w="80" w:type="dxa"/>
              <w:start w:w="120" w:type="dxa"/>
              <w:bottom w:w="80" w:type="dxa"/>
              <w:end w:w="120" w:type="dxa"/>
            </w:tcMar>
            <w:vAlign w:val="center"/>
          </w:tcPr>
          <w:p>
            <w:pPr>
              <w:spacing w:after="0" w:line="264" w:lineRule="auto"/>
              <w:jc w:val="left"/>
            </w:pPr>
            <w:r>
              <w:rPr>
                <w:rFonts w:ascii="Calibri" w:hAnsi="Calibri"/>
                <w:b/>
                <w:color w:val="0F172A"/>
                <w:sz w:val="19"/>
              </w:rPr>
              <w:t>8</w:t>
            </w:r>
          </w:p>
        </w:tc>
        <w:tc>
          <w:tcPr>
            <w:tcW w:type="dxa" w:w="2448"/>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 résultat qui conduit à l’action</w:t>
            </w:r>
          </w:p>
        </w:tc>
        <w:tc>
          <w:tcPr>
            <w:tcW w:type="dxa" w:w="3672"/>
            <w:tcMar>
              <w:top w:w="80" w:type="dxa"/>
              <w:start w:w="120" w:type="dxa"/>
              <w:bottom w:w="80" w:type="dxa"/>
              <w:end w:w="120" w:type="dxa"/>
            </w:tcMar>
            <w:vAlign w:val="center"/>
          </w:tcPr>
          <w:p>
            <w:pPr>
              <w:spacing w:after="0" w:line="264" w:lineRule="auto"/>
              <w:jc w:val="left"/>
            </w:pPr>
            <w:r>
              <w:rPr>
                <w:rFonts w:ascii="Calibri" w:hAnsi="Calibri"/>
                <w:b w:val="0"/>
                <w:color w:val="0F172A"/>
                <w:sz w:val="19"/>
              </w:rPr>
              <w:t>La restitution ne se limite pas à un score: elle explique, distingue les catégories et propose des prochaines étapes.</w:t>
            </w:r>
          </w:p>
        </w:tc>
        <w:tc>
          <w:tcPr>
            <w:tcW w:type="dxa" w:w="2592"/>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 exemple de carte résultat avec trois blocs: niveau, catégories, actions.</w:t>
            </w:r>
          </w:p>
        </w:tc>
      </w:tr>
      <w:tr>
        <w:tc>
          <w:tcPr>
            <w:tcW w:type="dxa" w:w="648"/>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9</w:t>
            </w:r>
          </w:p>
        </w:tc>
        <w:tc>
          <w:tcPr>
            <w:tcW w:type="dxa" w:w="2448"/>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Une orientation locale et régionale</w:t>
            </w:r>
          </w:p>
        </w:tc>
        <w:tc>
          <w:tcPr>
            <w:tcW w:type="dxa" w:w="367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L’utilité d’un diagnostic dépend de la qualité des solutions proposées immédiatement après.</w:t>
            </w:r>
          </w:p>
        </w:tc>
        <w:tc>
          <w:tcPr>
            <w:tcW w:type="dxa" w:w="259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Carte de l’Afrique de l’Ouest avec les pays couverts et exemples de types de services.</w:t>
            </w:r>
          </w:p>
        </w:tc>
      </w:tr>
      <w:tr>
        <w:tc>
          <w:tcPr>
            <w:tcW w:type="dxa" w:w="648"/>
            <w:tcMar>
              <w:top w:w="80" w:type="dxa"/>
              <w:start w:w="120" w:type="dxa"/>
              <w:bottom w:w="80" w:type="dxa"/>
              <w:end w:w="120" w:type="dxa"/>
            </w:tcMar>
            <w:vAlign w:val="center"/>
          </w:tcPr>
          <w:p>
            <w:pPr>
              <w:spacing w:after="0" w:line="264" w:lineRule="auto"/>
              <w:jc w:val="left"/>
            </w:pPr>
            <w:r>
              <w:rPr>
                <w:rFonts w:ascii="Calibri" w:hAnsi="Calibri"/>
                <w:b/>
                <w:color w:val="0F172A"/>
                <w:sz w:val="19"/>
              </w:rPr>
              <w:t>10</w:t>
            </w:r>
          </w:p>
        </w:tc>
        <w:tc>
          <w:tcPr>
            <w:tcW w:type="dxa" w:w="2448"/>
            <w:tcMar>
              <w:top w:w="80" w:type="dxa"/>
              <w:start w:w="120" w:type="dxa"/>
              <w:bottom w:w="80" w:type="dxa"/>
              <w:end w:w="120" w:type="dxa"/>
            </w:tcMar>
            <w:vAlign w:val="center"/>
          </w:tcPr>
          <w:p>
            <w:pPr>
              <w:spacing w:after="0" w:line="264" w:lineRule="auto"/>
              <w:jc w:val="left"/>
            </w:pPr>
            <w:r>
              <w:rPr>
                <w:rFonts w:ascii="Calibri" w:hAnsi="Calibri"/>
                <w:b w:val="0"/>
                <w:color w:val="0F172A"/>
                <w:sz w:val="19"/>
              </w:rPr>
              <w:t>Confidentialité et sécurité: une exigence de conception</w:t>
            </w:r>
          </w:p>
        </w:tc>
        <w:tc>
          <w:tcPr>
            <w:tcW w:type="dxa" w:w="3672"/>
            <w:tcMar>
              <w:top w:w="80" w:type="dxa"/>
              <w:start w:w="120" w:type="dxa"/>
              <w:bottom w:w="80" w:type="dxa"/>
              <w:end w:w="120" w:type="dxa"/>
            </w:tcMar>
            <w:vAlign w:val="center"/>
          </w:tcPr>
          <w:p>
            <w:pPr>
              <w:spacing w:after="0" w:line="264" w:lineRule="auto"/>
              <w:jc w:val="left"/>
            </w:pPr>
            <w:r>
              <w:rPr>
                <w:rFonts w:ascii="Calibri" w:hAnsi="Calibri"/>
                <w:b w:val="0"/>
                <w:color w:val="0F172A"/>
                <w:sz w:val="19"/>
              </w:rPr>
              <w:t>Dans un contexte de violence, la sécurité numérique est une fonction essentielle, pas une option de communication.</w:t>
            </w:r>
          </w:p>
        </w:tc>
        <w:tc>
          <w:tcPr>
            <w:tcW w:type="dxa" w:w="2592"/>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 bouclier entouré de cinq principes: minimiser, expliquer, protéger, limiter, supprimer.</w:t>
            </w:r>
          </w:p>
        </w:tc>
      </w:tr>
      <w:tr>
        <w:tc>
          <w:tcPr>
            <w:tcW w:type="dxa" w:w="648"/>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11</w:t>
            </w:r>
          </w:p>
        </w:tc>
        <w:tc>
          <w:tcPr>
            <w:tcW w:type="dxa" w:w="2448"/>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Le tableau de bord personnel</w:t>
            </w:r>
          </w:p>
        </w:tc>
        <w:tc>
          <w:tcPr>
            <w:tcW w:type="dxa" w:w="367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La création d’un compte reste facultative et apporte une continuité à celles et ceux qui souhaitent suivre leur activité.</w:t>
            </w:r>
          </w:p>
        </w:tc>
        <w:tc>
          <w:tcPr>
            <w:tcW w:type="dxa" w:w="259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Capture du tableau de bord avec trois indicateurs et la liste des résultats récents.</w:t>
            </w:r>
          </w:p>
        </w:tc>
      </w:tr>
      <w:tr>
        <w:tc>
          <w:tcPr>
            <w:tcW w:type="dxa" w:w="648"/>
            <w:tcMar>
              <w:top w:w="80" w:type="dxa"/>
              <w:start w:w="120" w:type="dxa"/>
              <w:bottom w:w="80" w:type="dxa"/>
              <w:end w:w="120" w:type="dxa"/>
            </w:tcMar>
            <w:vAlign w:val="center"/>
          </w:tcPr>
          <w:p>
            <w:pPr>
              <w:spacing w:after="0" w:line="264" w:lineRule="auto"/>
              <w:jc w:val="left"/>
            </w:pPr>
            <w:r>
              <w:rPr>
                <w:rFonts w:ascii="Calibri" w:hAnsi="Calibri"/>
                <w:b/>
                <w:color w:val="0F172A"/>
                <w:sz w:val="19"/>
              </w:rPr>
              <w:t>12</w:t>
            </w:r>
          </w:p>
        </w:tc>
        <w:tc>
          <w:tcPr>
            <w:tcW w:type="dxa" w:w="2448"/>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Une administration modulaire pour les équipes</w:t>
            </w:r>
          </w:p>
        </w:tc>
        <w:tc>
          <w:tcPr>
            <w:tcW w:type="dxa" w:w="3672"/>
            <w:tcMar>
              <w:top w:w="80" w:type="dxa"/>
              <w:start w:w="120" w:type="dxa"/>
              <w:bottom w:w="80" w:type="dxa"/>
              <w:end w:w="120" w:type="dxa"/>
            </w:tcMar>
            <w:vAlign w:val="center"/>
          </w:tcPr>
          <w:p>
            <w:pPr>
              <w:spacing w:after="0" w:line="264" w:lineRule="auto"/>
              <w:jc w:val="left"/>
            </w:pPr>
            <w:r>
              <w:rPr>
                <w:rFonts w:ascii="Calibri" w:hAnsi="Calibri"/>
                <w:b w:val="0"/>
                <w:color w:val="0F172A"/>
                <w:sz w:val="19"/>
              </w:rPr>
              <w:t>Chaque administrateur ne voit que les fonctions nécessaires à sa mission.</w:t>
            </w:r>
          </w:p>
        </w:tc>
        <w:tc>
          <w:tcPr>
            <w:tcW w:type="dxa" w:w="2592"/>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Une matrice simple « rôle / modules autorisés ».</w:t>
            </w:r>
          </w:p>
        </w:tc>
      </w:tr>
      <w:tr>
        <w:tc>
          <w:tcPr>
            <w:tcW w:type="dxa" w:w="648"/>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13</w:t>
            </w:r>
          </w:p>
        </w:tc>
        <w:tc>
          <w:tcPr>
            <w:tcW w:type="dxa" w:w="2448"/>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Mesurer pour améliorer, pas pour surveiller</w:t>
            </w:r>
          </w:p>
        </w:tc>
        <w:tc>
          <w:tcPr>
            <w:tcW w:type="dxa" w:w="367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Les données de parcours permettent de comprendre l’usage et l’impact opérationnel tout en imposant une stricte minimisation des données sensibles.</w:t>
            </w:r>
          </w:p>
        </w:tc>
        <w:tc>
          <w:tcPr>
            <w:tcW w:type="dxa" w:w="259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 entonnoir: visite, démarrage, progression, résultat, consultation d’une ressource, orientation confirmée.</w:t>
            </w:r>
          </w:p>
        </w:tc>
      </w:tr>
      <w:tr>
        <w:tc>
          <w:tcPr>
            <w:tcW w:type="dxa" w:w="648"/>
            <w:tcMar>
              <w:top w:w="80" w:type="dxa"/>
              <w:start w:w="120" w:type="dxa"/>
              <w:bottom w:w="80" w:type="dxa"/>
              <w:end w:w="120" w:type="dxa"/>
            </w:tcMar>
            <w:vAlign w:val="center"/>
          </w:tcPr>
          <w:p>
            <w:pPr>
              <w:spacing w:after="0" w:line="264" w:lineRule="auto"/>
              <w:jc w:val="left"/>
            </w:pPr>
            <w:r>
              <w:rPr>
                <w:rFonts w:ascii="Calibri" w:hAnsi="Calibri"/>
                <w:b/>
                <w:color w:val="0F172A"/>
                <w:sz w:val="19"/>
              </w:rPr>
              <w:t>14</w:t>
            </w:r>
          </w:p>
        </w:tc>
        <w:tc>
          <w:tcPr>
            <w:tcW w:type="dxa" w:w="2448"/>
            <w:tcMar>
              <w:top w:w="80" w:type="dxa"/>
              <w:start w:w="120" w:type="dxa"/>
              <w:bottom w:w="80" w:type="dxa"/>
              <w:end w:w="120" w:type="dxa"/>
            </w:tcMar>
            <w:vAlign w:val="center"/>
          </w:tcPr>
          <w:p>
            <w:pPr>
              <w:spacing w:after="0" w:line="264" w:lineRule="auto"/>
              <w:jc w:val="left"/>
            </w:pPr>
            <w:r>
              <w:rPr>
                <w:rFonts w:ascii="Calibri" w:hAnsi="Calibri"/>
                <w:b w:val="0"/>
                <w:color w:val="0F172A"/>
                <w:sz w:val="19"/>
              </w:rPr>
              <w:t>Ce que la plateforme apporte aux partenaires</w:t>
            </w:r>
          </w:p>
        </w:tc>
        <w:tc>
          <w:tcPr>
            <w:tcW w:type="dxa" w:w="3672"/>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 partenariat transforme un outil numérique en dispositif territorial fiable, mesurable et durable.</w:t>
            </w:r>
          </w:p>
        </w:tc>
        <w:tc>
          <w:tcPr>
            <w:tcW w:type="dxa" w:w="2592"/>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Une colonne « contribution partenaire » reliée à trois résultats: accès, orientation, apprentissage.</w:t>
            </w:r>
          </w:p>
        </w:tc>
      </w:tr>
    </w:tbl>
    <w:p>
      <w:pPr>
        <w:spacing w:after="40"/>
      </w:pPr>
    </w:p>
    <w:p>
      <w:r>
        <w:br w:type="page"/>
      </w:r>
    </w:p>
    <w:p>
      <w:pPr>
        <w:spacing w:before="0" w:after="120"/>
        <w:jc w:val="left"/>
      </w:pPr>
      <w:r>
        <w:rPr>
          <w:rFonts w:ascii="Calibri" w:hAnsi="Calibri"/>
          <w:b/>
          <w:color w:val="EB5F2A"/>
          <w:sz w:val="18"/>
        </w:rPr>
        <w:t>ANNEXE 4 (SUITE)</w:t>
      </w:r>
    </w:p>
    <w:p>
      <w:pPr>
        <w:pStyle w:val="Heading2"/>
      </w:pPr>
      <w:r>
        <w:t>Diapositives 15 à 21</w:t>
      </w:r>
    </w:p>
    <w:tbl>
      <w:tblPr>
        <w:tblStyle w:val="TableGrid"/>
        <w:tblW w:type="dxa" w:w="9360"/>
        <w:jc w:val="left"/>
        <w:tblLayout w:type="fixed"/>
        <w:tblLook w:firstColumn="1" w:firstRow="1" w:lastColumn="0" w:lastRow="0" w:noHBand="0" w:noVBand="1" w:val="04A0"/>
        <w:tblInd w:w="120" w:type="dxa"/>
      </w:tblPr>
      <w:tblGrid>
        <w:gridCol w:w="648"/>
        <w:gridCol w:w="2448"/>
        <w:gridCol w:w="3672"/>
        <w:gridCol w:w="2592"/>
      </w:tblGrid>
      <w:tr>
        <w:trPr>
          <w:tblHeader w:val="true"/>
        </w:trPr>
        <w:tc>
          <w:tcPr>
            <w:tcW w:type="dxa" w:w="648"/>
            <w:shd w:fill="0F172A"/>
            <w:tcMar>
              <w:top w:w="80" w:type="dxa"/>
              <w:start w:w="120" w:type="dxa"/>
              <w:bottom w:w="80" w:type="dxa"/>
              <w:end w:w="120" w:type="dxa"/>
            </w:tcMar>
            <w:vAlign w:val="center"/>
          </w:tcPr>
          <w:p>
            <w:pPr>
              <w:spacing w:after="0"/>
              <w:jc w:val="left"/>
            </w:pPr>
            <w:r>
              <w:rPr>
                <w:rFonts w:ascii="Calibri" w:hAnsi="Calibri"/>
                <w:b/>
                <w:color w:val="FFFFFF"/>
                <w:sz w:val="19"/>
              </w:rPr>
              <w:t>No</w:t>
            </w:r>
          </w:p>
        </w:tc>
        <w:tc>
          <w:tcPr>
            <w:tcW w:type="dxa" w:w="2448"/>
            <w:shd w:fill="0F172A"/>
            <w:tcMar>
              <w:top w:w="80" w:type="dxa"/>
              <w:start w:w="120" w:type="dxa"/>
              <w:bottom w:w="80" w:type="dxa"/>
              <w:end w:w="120" w:type="dxa"/>
            </w:tcMar>
            <w:vAlign w:val="center"/>
          </w:tcPr>
          <w:p>
            <w:pPr>
              <w:spacing w:after="0"/>
              <w:jc w:val="left"/>
            </w:pPr>
            <w:r>
              <w:rPr>
                <w:rFonts w:ascii="Calibri" w:hAnsi="Calibri"/>
                <w:b/>
                <w:color w:val="FFFFFF"/>
                <w:sz w:val="19"/>
              </w:rPr>
              <w:t>Titre</w:t>
            </w:r>
          </w:p>
        </w:tc>
        <w:tc>
          <w:tcPr>
            <w:tcW w:type="dxa" w:w="3672"/>
            <w:shd w:fill="0F172A"/>
            <w:tcMar>
              <w:top w:w="80" w:type="dxa"/>
              <w:start w:w="120" w:type="dxa"/>
              <w:bottom w:w="80" w:type="dxa"/>
              <w:end w:w="120" w:type="dxa"/>
            </w:tcMar>
            <w:vAlign w:val="center"/>
          </w:tcPr>
          <w:p>
            <w:pPr>
              <w:spacing w:after="0"/>
              <w:jc w:val="left"/>
            </w:pPr>
            <w:r>
              <w:rPr>
                <w:rFonts w:ascii="Calibri" w:hAnsi="Calibri"/>
                <w:b/>
                <w:color w:val="FFFFFF"/>
                <w:sz w:val="19"/>
              </w:rPr>
              <w:t>Phrase centrale</w:t>
            </w:r>
          </w:p>
        </w:tc>
        <w:tc>
          <w:tcPr>
            <w:tcW w:type="dxa" w:w="2592"/>
            <w:shd w:fill="0F172A"/>
            <w:tcMar>
              <w:top w:w="80" w:type="dxa"/>
              <w:start w:w="120" w:type="dxa"/>
              <w:bottom w:w="80" w:type="dxa"/>
              <w:end w:w="120" w:type="dxa"/>
            </w:tcMar>
            <w:vAlign w:val="center"/>
          </w:tcPr>
          <w:p>
            <w:pPr>
              <w:spacing w:after="0"/>
              <w:jc w:val="left"/>
            </w:pPr>
            <w:r>
              <w:rPr>
                <w:rFonts w:ascii="Calibri" w:hAnsi="Calibri"/>
                <w:b/>
                <w:color w:val="FFFFFF"/>
                <w:sz w:val="19"/>
              </w:rPr>
              <w:t>Visuel</w:t>
            </w:r>
          </w:p>
        </w:tc>
      </w:tr>
      <w:tr>
        <w:tc>
          <w:tcPr>
            <w:tcW w:type="dxa" w:w="648"/>
            <w:tcMar>
              <w:top w:w="80" w:type="dxa"/>
              <w:start w:w="120" w:type="dxa"/>
              <w:bottom w:w="80" w:type="dxa"/>
              <w:end w:w="120" w:type="dxa"/>
            </w:tcMar>
            <w:vAlign w:val="center"/>
          </w:tcPr>
          <w:p>
            <w:pPr>
              <w:spacing w:after="0" w:line="264" w:lineRule="auto"/>
              <w:jc w:val="left"/>
            </w:pPr>
            <w:r>
              <w:rPr>
                <w:rFonts w:ascii="Calibri" w:hAnsi="Calibri"/>
                <w:b/>
                <w:color w:val="0F172A"/>
                <w:sz w:val="19"/>
              </w:rPr>
              <w:t>15</w:t>
            </w:r>
          </w:p>
        </w:tc>
        <w:tc>
          <w:tcPr>
            <w:tcW w:type="dxa" w:w="2448"/>
            <w:tcMar>
              <w:top w:w="80" w:type="dxa"/>
              <w:start w:w="120" w:type="dxa"/>
              <w:bottom w:w="80" w:type="dxa"/>
              <w:end w:w="120" w:type="dxa"/>
            </w:tcMar>
            <w:vAlign w:val="center"/>
          </w:tcPr>
          <w:p>
            <w:pPr>
              <w:spacing w:after="0" w:line="264" w:lineRule="auto"/>
              <w:jc w:val="left"/>
            </w:pPr>
            <w:r>
              <w:rPr>
                <w:rFonts w:ascii="Calibri" w:hAnsi="Calibri"/>
                <w:b w:val="0"/>
                <w:color w:val="0F172A"/>
                <w:sz w:val="19"/>
              </w:rPr>
              <w:t>Pourquoi cette approche est différenciante</w:t>
            </w:r>
          </w:p>
        </w:tc>
        <w:tc>
          <w:tcPr>
            <w:tcW w:type="dxa" w:w="3672"/>
            <w:tcMar>
              <w:top w:w="80" w:type="dxa"/>
              <w:start w:w="120" w:type="dxa"/>
              <w:bottom w:w="80" w:type="dxa"/>
              <w:end w:w="120" w:type="dxa"/>
            </w:tcMar>
            <w:vAlign w:val="center"/>
          </w:tcPr>
          <w:p>
            <w:pPr>
              <w:spacing w:after="0" w:line="264" w:lineRule="auto"/>
              <w:jc w:val="left"/>
            </w:pPr>
            <w:r>
              <w:rPr>
                <w:rFonts w:ascii="Calibri" w:hAnsi="Calibri"/>
                <w:b w:val="0"/>
                <w:color w:val="0F172A"/>
                <w:sz w:val="19"/>
              </w:rPr>
              <w:t>ALERTE VIOLENCE combine des fonctions généralement dispersées: repérage, restitution, orientation locale, partage, administration et mesure.</w:t>
            </w:r>
          </w:p>
        </w:tc>
        <w:tc>
          <w:tcPr>
            <w:tcW w:type="dxa" w:w="2592"/>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Une comparaison par briques fonctionnelles, sans nommer de concurrents.</w:t>
            </w:r>
          </w:p>
        </w:tc>
      </w:tr>
      <w:tr>
        <w:tc>
          <w:tcPr>
            <w:tcW w:type="dxa" w:w="648"/>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16</w:t>
            </w:r>
          </w:p>
        </w:tc>
        <w:tc>
          <w:tcPr>
            <w:tcW w:type="dxa" w:w="2448"/>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 modèle de partenariat clair</w:t>
            </w:r>
          </w:p>
        </w:tc>
        <w:tc>
          <w:tcPr>
            <w:tcW w:type="dxa" w:w="367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La LNDF porte la vision et l’ancrage; les partenaires renforcent l’expertise, le réseau, la sécurité, la mesure et le passage à l’échelle.</w:t>
            </w:r>
          </w:p>
        </w:tc>
        <w:tc>
          <w:tcPr>
            <w:tcW w:type="dxa" w:w="259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Tableau des rôles ou schéma de gouvernance à trois niveaux.</w:t>
            </w:r>
          </w:p>
        </w:tc>
      </w:tr>
      <w:tr>
        <w:tc>
          <w:tcPr>
            <w:tcW w:type="dxa" w:w="648"/>
            <w:tcMar>
              <w:top w:w="80" w:type="dxa"/>
              <w:start w:w="120" w:type="dxa"/>
              <w:bottom w:w="80" w:type="dxa"/>
              <w:end w:w="120" w:type="dxa"/>
            </w:tcMar>
            <w:vAlign w:val="center"/>
          </w:tcPr>
          <w:p>
            <w:pPr>
              <w:spacing w:after="0" w:line="264" w:lineRule="auto"/>
              <w:jc w:val="left"/>
            </w:pPr>
            <w:r>
              <w:rPr>
                <w:rFonts w:ascii="Calibri" w:hAnsi="Calibri"/>
                <w:b/>
                <w:color w:val="0F172A"/>
                <w:sz w:val="19"/>
              </w:rPr>
              <w:t>17</w:t>
            </w:r>
          </w:p>
        </w:tc>
        <w:tc>
          <w:tcPr>
            <w:tcW w:type="dxa" w:w="2448"/>
            <w:tcMar>
              <w:top w:w="80" w:type="dxa"/>
              <w:start w:w="120" w:type="dxa"/>
              <w:bottom w:w="80" w:type="dxa"/>
              <w:end w:w="120" w:type="dxa"/>
            </w:tcMar>
            <w:vAlign w:val="center"/>
          </w:tcPr>
          <w:p>
            <w:pPr>
              <w:spacing w:after="0" w:line="264" w:lineRule="auto"/>
              <w:jc w:val="left"/>
            </w:pPr>
            <w:r>
              <w:rPr>
                <w:rFonts w:ascii="Calibri" w:hAnsi="Calibri"/>
                <w:b w:val="0"/>
                <w:color w:val="0F172A"/>
                <w:sz w:val="19"/>
              </w:rPr>
              <w:t>Proposition de pilote sur six mois</w:t>
            </w:r>
          </w:p>
        </w:tc>
        <w:tc>
          <w:tcPr>
            <w:tcW w:type="dxa" w:w="3672"/>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 pilote limité permet de valider l’utilité, la sécurité et l’organisation avant un déploiement plus large.</w:t>
            </w:r>
          </w:p>
        </w:tc>
        <w:tc>
          <w:tcPr>
            <w:tcW w:type="dxa" w:w="2592"/>
            <w:tcMar>
              <w:top w:w="80" w:type="dxa"/>
              <w:start w:w="120" w:type="dxa"/>
              <w:bottom w:w="80" w:type="dxa"/>
              <w:end w:w="120" w:type="dxa"/>
            </w:tcMar>
            <w:vAlign w:val="center"/>
          </w:tcPr>
          <w:p>
            <w:pPr>
              <w:spacing w:after="0" w:line="264" w:lineRule="auto"/>
              <w:jc w:val="left"/>
            </w:pPr>
            <w:r>
              <w:rPr>
                <w:rFonts w:ascii="Calibri" w:hAnsi="Calibri"/>
                <w:b w:val="0"/>
                <w:color w:val="0F172A"/>
                <w:sz w:val="19"/>
              </w:rPr>
              <w:t>Chronologie en quatre phases avec jalons de validation.</w:t>
            </w:r>
          </w:p>
        </w:tc>
      </w:tr>
      <w:tr>
        <w:tc>
          <w:tcPr>
            <w:tcW w:type="dxa" w:w="648"/>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18</w:t>
            </w:r>
          </w:p>
        </w:tc>
        <w:tc>
          <w:tcPr>
            <w:tcW w:type="dxa" w:w="2448"/>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Les indicateurs de succès</w:t>
            </w:r>
          </w:p>
        </w:tc>
        <w:tc>
          <w:tcPr>
            <w:tcW w:type="dxa" w:w="367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Le succès doit être mesuré à plusieurs niveaux: portée, engagement, orientation, qualité, sécurité et capacité institutionnelle.</w:t>
            </w:r>
          </w:p>
        </w:tc>
        <w:tc>
          <w:tcPr>
            <w:tcW w:type="dxa" w:w="259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Une chaîne de résultats allant de la portée jusqu’à l’orientation utile.</w:t>
            </w:r>
          </w:p>
        </w:tc>
      </w:tr>
      <w:tr>
        <w:tc>
          <w:tcPr>
            <w:tcW w:type="dxa" w:w="648"/>
            <w:tcMar>
              <w:top w:w="80" w:type="dxa"/>
              <w:start w:w="120" w:type="dxa"/>
              <w:bottom w:w="80" w:type="dxa"/>
              <w:end w:w="120" w:type="dxa"/>
            </w:tcMar>
            <w:vAlign w:val="center"/>
          </w:tcPr>
          <w:p>
            <w:pPr>
              <w:spacing w:after="0" w:line="264" w:lineRule="auto"/>
              <w:jc w:val="left"/>
            </w:pPr>
            <w:r>
              <w:rPr>
                <w:rFonts w:ascii="Calibri" w:hAnsi="Calibri"/>
                <w:b/>
                <w:color w:val="0F172A"/>
                <w:sz w:val="19"/>
              </w:rPr>
              <w:t>19</w:t>
            </w:r>
          </w:p>
        </w:tc>
        <w:tc>
          <w:tcPr>
            <w:tcW w:type="dxa" w:w="2448"/>
            <w:tcMar>
              <w:top w:w="80" w:type="dxa"/>
              <w:start w:w="120" w:type="dxa"/>
              <w:bottom w:w="80" w:type="dxa"/>
              <w:end w:w="120" w:type="dxa"/>
            </w:tcMar>
            <w:vAlign w:val="center"/>
          </w:tcPr>
          <w:p>
            <w:pPr>
              <w:spacing w:after="0" w:line="264" w:lineRule="auto"/>
              <w:jc w:val="left"/>
            </w:pPr>
            <w:r>
              <w:rPr>
                <w:rFonts w:ascii="Calibri" w:hAnsi="Calibri"/>
                <w:b w:val="0"/>
                <w:color w:val="0F172A"/>
                <w:sz w:val="19"/>
              </w:rPr>
              <w:t>Risques identifiés et réponses prévues</w:t>
            </w:r>
          </w:p>
        </w:tc>
        <w:tc>
          <w:tcPr>
            <w:tcW w:type="dxa" w:w="3672"/>
            <w:tcMar>
              <w:top w:w="80" w:type="dxa"/>
              <w:start w:w="120" w:type="dxa"/>
              <w:bottom w:w="80" w:type="dxa"/>
              <w:end w:w="120" w:type="dxa"/>
            </w:tcMar>
            <w:vAlign w:val="center"/>
          </w:tcPr>
          <w:p>
            <w:pPr>
              <w:spacing w:after="0" w:line="264" w:lineRule="auto"/>
              <w:jc w:val="left"/>
            </w:pPr>
            <w:r>
              <w:rPr>
                <w:rFonts w:ascii="Calibri" w:hAnsi="Calibri"/>
                <w:b w:val="0"/>
                <w:color w:val="0F172A"/>
                <w:sz w:val="19"/>
              </w:rPr>
              <w:t>Une plateforme responsable reconnaît ses risques, les documente et organise leur réduction avant le passage à l’échelle.</w:t>
            </w:r>
          </w:p>
        </w:tc>
        <w:tc>
          <w:tcPr>
            <w:tcW w:type="dxa" w:w="2592"/>
            <w:tcMar>
              <w:top w:w="80" w:type="dxa"/>
              <w:start w:w="120" w:type="dxa"/>
              <w:bottom w:w="80" w:type="dxa"/>
              <w:end w:w="120" w:type="dxa"/>
            </w:tcMar>
            <w:vAlign w:val="center"/>
          </w:tcPr>
          <w:p>
            <w:pPr>
              <w:spacing w:after="0" w:line="264" w:lineRule="auto"/>
              <w:jc w:val="left"/>
            </w:pPr>
            <w:r>
              <w:rPr>
                <w:rFonts w:ascii="Calibri" w:hAnsi="Calibri"/>
                <w:b w:val="0"/>
                <w:color w:val="0F172A"/>
                <w:sz w:val="19"/>
              </w:rPr>
              <w:t>Six risques avec, en face, une mesure de réduction courte.</w:t>
            </w:r>
          </w:p>
        </w:tc>
      </w:tr>
      <w:tr>
        <w:tc>
          <w:tcPr>
            <w:tcW w:type="dxa" w:w="648"/>
            <w:shd w:fill="F4F6F9"/>
            <w:tcMar>
              <w:top w:w="80" w:type="dxa"/>
              <w:start w:w="120" w:type="dxa"/>
              <w:bottom w:w="80" w:type="dxa"/>
              <w:end w:w="120" w:type="dxa"/>
            </w:tcMar>
            <w:vAlign w:val="center"/>
          </w:tcPr>
          <w:p>
            <w:pPr>
              <w:spacing w:after="0" w:line="264" w:lineRule="auto"/>
              <w:jc w:val="left"/>
            </w:pPr>
            <w:r>
              <w:rPr>
                <w:rFonts w:ascii="Calibri" w:hAnsi="Calibri"/>
                <w:b/>
                <w:color w:val="0F172A"/>
                <w:sz w:val="19"/>
              </w:rPr>
              <w:t>20</w:t>
            </w:r>
          </w:p>
        </w:tc>
        <w:tc>
          <w:tcPr>
            <w:tcW w:type="dxa" w:w="2448"/>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Ce que nous demandons aux partenaires</w:t>
            </w:r>
          </w:p>
        </w:tc>
        <w:tc>
          <w:tcPr>
            <w:tcW w:type="dxa" w:w="367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Nous proposons de co-construire un pilote sécurisé, mesurable et relié aux services existants.</w:t>
            </w:r>
          </w:p>
        </w:tc>
        <w:tc>
          <w:tcPr>
            <w:tcW w:type="dxa" w:w="2592"/>
            <w:shd w:fill="F4F6F9"/>
            <w:tcMar>
              <w:top w:w="80" w:type="dxa"/>
              <w:start w:w="120" w:type="dxa"/>
              <w:bottom w:w="80" w:type="dxa"/>
              <w:end w:w="120" w:type="dxa"/>
            </w:tcMar>
            <w:vAlign w:val="center"/>
          </w:tcPr>
          <w:p>
            <w:pPr>
              <w:spacing w:after="0" w:line="264" w:lineRule="auto"/>
              <w:jc w:val="left"/>
            </w:pPr>
            <w:r>
              <w:rPr>
                <w:rFonts w:ascii="Calibri" w:hAnsi="Calibri"/>
                <w:b w:val="0"/>
                <w:color w:val="0F172A"/>
                <w:sz w:val="19"/>
              </w:rPr>
              <w:t>Cinq formes de contribution autour d’un bloc central « pilote 6 mois ».</w:t>
            </w:r>
          </w:p>
        </w:tc>
      </w:tr>
      <w:tr>
        <w:tc>
          <w:tcPr>
            <w:tcW w:type="dxa" w:w="648"/>
            <w:tcMar>
              <w:top w:w="80" w:type="dxa"/>
              <w:start w:w="120" w:type="dxa"/>
              <w:bottom w:w="80" w:type="dxa"/>
              <w:end w:w="120" w:type="dxa"/>
            </w:tcMar>
            <w:vAlign w:val="center"/>
          </w:tcPr>
          <w:p>
            <w:pPr>
              <w:spacing w:after="0" w:line="264" w:lineRule="auto"/>
              <w:jc w:val="left"/>
            </w:pPr>
            <w:r>
              <w:rPr>
                <w:rFonts w:ascii="Calibri" w:hAnsi="Calibri"/>
                <w:b/>
                <w:color w:val="0F172A"/>
                <w:sz w:val="19"/>
              </w:rPr>
              <w:t>21</w:t>
            </w:r>
          </w:p>
        </w:tc>
        <w:tc>
          <w:tcPr>
            <w:tcW w:type="dxa" w:w="2448"/>
            <w:tcMar>
              <w:top w:w="80" w:type="dxa"/>
              <w:start w:w="120" w:type="dxa"/>
              <w:bottom w:w="80" w:type="dxa"/>
              <w:end w:w="120" w:type="dxa"/>
            </w:tcMar>
            <w:vAlign w:val="center"/>
          </w:tcPr>
          <w:p>
            <w:pPr>
              <w:spacing w:after="0" w:line="264" w:lineRule="auto"/>
              <w:jc w:val="left"/>
            </w:pPr>
            <w:r>
              <w:rPr>
                <w:rFonts w:ascii="Calibri" w:hAnsi="Calibri"/>
                <w:b w:val="0"/>
                <w:color w:val="0F172A"/>
                <w:sz w:val="19"/>
              </w:rPr>
              <w:t>Conclusion: diagnostiquer pour mieux protéger</w:t>
            </w:r>
          </w:p>
        </w:tc>
        <w:tc>
          <w:tcPr>
            <w:tcW w:type="dxa" w:w="3672"/>
            <w:tcMar>
              <w:top w:w="80" w:type="dxa"/>
              <w:start w:w="120" w:type="dxa"/>
              <w:bottom w:w="80" w:type="dxa"/>
              <w:end w:w="120" w:type="dxa"/>
            </w:tcMar>
            <w:vAlign w:val="center"/>
          </w:tcPr>
          <w:p>
            <w:pPr>
              <w:spacing w:after="0" w:line="264" w:lineRule="auto"/>
              <w:jc w:val="left"/>
            </w:pPr>
            <w:r>
              <w:rPr>
                <w:rFonts w:ascii="Calibri" w:hAnsi="Calibri"/>
                <w:b w:val="0"/>
                <w:color w:val="0F172A"/>
                <w:sz w:val="19"/>
              </w:rPr>
              <w:t>ALERTE VIOLENCE peut devenir une porte d’entrée fiable entre le silence, la compréhension et l’accès à l’aide.</w:t>
            </w:r>
          </w:p>
        </w:tc>
        <w:tc>
          <w:tcPr>
            <w:tcW w:type="dxa" w:w="2592"/>
            <w:tcMar>
              <w:top w:w="80" w:type="dxa"/>
              <w:start w:w="120" w:type="dxa"/>
              <w:bottom w:w="80" w:type="dxa"/>
              <w:end w:w="120" w:type="dxa"/>
            </w:tcMar>
            <w:vAlign w:val="center"/>
          </w:tcPr>
          <w:p>
            <w:pPr>
              <w:spacing w:after="0" w:line="264" w:lineRule="auto"/>
              <w:jc w:val="left"/>
            </w:pPr>
            <w:r>
              <w:rPr>
                <w:rFonts w:ascii="Calibri" w:hAnsi="Calibri"/>
                <w:b w:val="0"/>
                <w:color w:val="0F172A"/>
                <w:sz w:val="19"/>
              </w:rPr>
              <w:t>La même image qu’en ouverture, complétée par une porte ouverte vers un réseau d’aide.</w:t>
            </w:r>
          </w:p>
        </w:tc>
      </w:tr>
    </w:tbl>
    <w:p>
      <w:pPr>
        <w:spacing w:after="40"/>
      </w:pPr>
    </w:p>
    <w:p>
      <w:r>
        <w:br w:type="page"/>
      </w:r>
    </w:p>
    <w:p>
      <w:pPr>
        <w:spacing w:before="0" w:after="120"/>
        <w:jc w:val="left"/>
      </w:pPr>
      <w:r>
        <w:rPr>
          <w:rFonts w:ascii="Calibri" w:hAnsi="Calibri"/>
          <w:b/>
          <w:color w:val="EB5F2A"/>
          <w:sz w:val="18"/>
        </w:rPr>
        <w:t>ANNEXE 5</w:t>
      </w:r>
    </w:p>
    <w:p>
      <w:pPr>
        <w:pStyle w:val="Heading1"/>
      </w:pPr>
      <w:r>
        <w:t>Sources, périmètre et précautions</w:t>
      </w:r>
    </w:p>
    <w:p>
      <w:pPr>
        <w:pStyle w:val="Heading2"/>
      </w:pPr>
      <w:r>
        <w:t>Sources institutionnelles</w:t>
      </w:r>
    </w:p>
    <w:p>
      <w:pPr>
        <w:pStyle w:val="ListBullet"/>
      </w:pPr>
      <w:r>
        <w:t xml:space="preserve">Organisation mondiale de la Santé, « Violence à l’égard des femmes », mise à jour du 18 juin 2026. Estimations de prévalence publiées pour 2023. </w:t>
      </w:r>
      <w:hyperlink r:id="rId12">
        <w:r>
          <w:rPr>
            <w:color w:val="2E74B5"/>
            <w:u w:val="single"/>
          </w:rPr>
          <w:t>Consulter la source</w:t>
        </w:r>
      </w:hyperlink>
    </w:p>
    <w:p>
      <w:pPr>
        <w:pStyle w:val="ListBullet"/>
      </w:pPr>
      <w:r>
        <w:t xml:space="preserve">ONU Femmes, Data Hub, fiche pays Niger. Indicateur 2018 sur les violences physiques et/ou sexuelles d’un partenaire au cours des douze derniers mois. </w:t>
      </w:r>
      <w:hyperlink r:id="rId13">
        <w:r>
          <w:rPr>
            <w:color w:val="2E74B5"/>
            <w:u w:val="single"/>
          </w:rPr>
          <w:t>Consulter la source</w:t>
        </w:r>
      </w:hyperlink>
    </w:p>
    <w:p>
      <w:pPr>
        <w:pStyle w:val="ListBullet"/>
      </w:pPr>
      <w:r>
        <w:t xml:space="preserve">UNFPA, Situation Report Niger, août 2025, pour le contexte de la réponse VBG et des services en situation humanitaire. </w:t>
      </w:r>
      <w:hyperlink r:id="rId14">
        <w:r>
          <w:rPr>
            <w:color w:val="2E74B5"/>
            <w:u w:val="single"/>
          </w:rPr>
          <w:t>Consulter la source</w:t>
        </w:r>
      </w:hyperlink>
    </w:p>
    <w:p>
      <w:pPr>
        <w:pStyle w:val="Heading2"/>
      </w:pPr>
      <w:r>
        <w:t>Sources produit</w:t>
      </w:r>
    </w:p>
    <w:p>
      <w:pPr>
        <w:pStyle w:val="ListBullet"/>
      </w:pPr>
      <w:r>
        <w:t>Fonctionnalités observées dans le code de la plateforme ALERTE VIOLENCE, version locale de juillet 2026.</w:t>
      </w:r>
    </w:p>
    <w:p>
      <w:pPr>
        <w:pStyle w:val="ListBullet"/>
      </w:pPr>
      <w:r>
        <w:t>Questionnaire statique de référence: 38 questions, 6 catégories et seuils de score décrits dans la page Diagnostic.</w:t>
      </w:r>
    </w:p>
    <w:p>
      <w:pPr>
        <w:pStyle w:val="ListBullet"/>
      </w:pPr>
      <w:r>
        <w:t>Répertoire de référence: Niger, Mali, Burkina Faso, Sénégal, Côte d’Ivoire, Bénin, Togo et Guinée.</w:t>
      </w:r>
    </w:p>
    <w:p>
      <w:pPr>
        <w:pStyle w:val="ListBullet"/>
      </w:pPr>
      <w:r>
        <w:t>Administration: statistiques, diagnostics, utilisateurs, logs, ressources et configuration, avec permissions modulaires.</w:t>
      </w:r>
    </w:p>
    <w:p>
      <w:pPr>
        <w:pStyle w:val="Heading2"/>
      </w:pPr>
      <w:r>
        <w:t>Ce que le document ne prétend pas</w:t>
      </w:r>
    </w:p>
    <w:p>
      <w:pPr>
        <w:pStyle w:val="ListBullet"/>
      </w:pPr>
      <w:r>
        <w:t>Il ne présente pas encore une évaluation indépendante d’impact.</w:t>
      </w:r>
    </w:p>
    <w:p>
      <w:pPr>
        <w:pStyle w:val="ListBullet"/>
      </w:pPr>
      <w:r>
        <w:t>Il ne certifie pas la validité clinique ou juridique du questionnaire.</w:t>
      </w:r>
    </w:p>
    <w:p>
      <w:pPr>
        <w:pStyle w:val="ListBullet"/>
      </w:pPr>
      <w:r>
        <w:t>Il ne garantit pas l’exactitude permanente des coordonnées de toutes les ressources.</w:t>
      </w:r>
    </w:p>
    <w:p>
      <w:pPr>
        <w:pStyle w:val="ListBullet"/>
      </w:pPr>
      <w:r>
        <w:t>Il ne remplace pas une analyse d’impact relative à la protection des données ni un audit de sécurité.</w:t>
      </w:r>
    </w:p>
    <w:p>
      <w:pPr>
        <w:pStyle w:val="ListBullet"/>
      </w:pPr>
      <w:r>
        <w:t>Il ne fixe pas de budget ni de cible de bénéficiaires sans cadrage avec le partenaire.</w:t>
      </w:r>
    </w:p>
    <w:p>
      <w:pPr>
        <w:spacing w:before="80" w:after="200" w:line="288" w:lineRule="auto"/>
        <w:ind w:left="144" w:right="144"/>
        <w:shd w:fill="ECFDF5"/>
        <w:pBdr>
          <w:left w:val="single" w:sz="20" w:space="10" w:color="047857"/>
        </w:pBdr>
      </w:pPr>
      <w:r>
        <w:rPr>
          <w:rFonts w:ascii="Calibri" w:hAnsi="Calibri"/>
          <w:b/>
          <w:color w:val="0F172A"/>
          <w:sz w:val="22"/>
        </w:rPr>
        <w:t xml:space="preserve">Recommandation: </w:t>
      </w:r>
      <w:r>
        <w:rPr>
          <w:rFonts w:ascii="Calibri" w:hAnsi="Calibri"/>
          <w:color w:val="0F172A"/>
          <w:sz w:val="22"/>
        </w:rPr>
        <w:t>Avant diffusion externe définitive, faire relire le document par la direction de la LNDF, une experte VBG, une personne responsable de la protection des données et les structures d’orientation citées.</w:t>
      </w:r>
    </w:p>
    <w:p>
      <w:r>
        <w:br w:type="page"/>
      </w:r>
    </w:p>
    <w:p/>
    <w:p/>
    <w:p/>
    <w:p>
      <w:pPr>
        <w:jc w:val="center"/>
      </w:pPr>
      <w:r>
        <w:drawing>
          <wp:inline xmlns:a="http://schemas.openxmlformats.org/drawingml/2006/main" xmlns:pic="http://schemas.openxmlformats.org/drawingml/2006/picture">
            <wp:extent cx="1051560" cy="630936"/>
            <wp:docPr id="2" name="Picture 2" title="Logo de la Ligue Nigérienne des Droits des Femmes" descr="Symbole orange de la Ligue Nigérienne des Droits des Femmes"/>
            <wp:cNvGraphicFramePr>
              <a:graphicFrameLocks noChangeAspect="1"/>
            </wp:cNvGraphicFramePr>
            <a:graphic>
              <a:graphicData uri="http://schemas.openxmlformats.org/drawingml/2006/picture">
                <pic:pic>
                  <pic:nvPicPr>
                    <pic:cNvPr id="0" name="Ligue.png"/>
                    <pic:cNvPicPr/>
                  </pic:nvPicPr>
                  <pic:blipFill>
                    <a:blip r:embed="rId11"/>
                    <a:stretch>
                      <a:fillRect/>
                    </a:stretch>
                  </pic:blipFill>
                  <pic:spPr>
                    <a:xfrm>
                      <a:off x="0" y="0"/>
                      <a:ext cx="1051560" cy="630936"/>
                    </a:xfrm>
                    <a:prstGeom prst="rect"/>
                  </pic:spPr>
                </pic:pic>
              </a:graphicData>
            </a:graphic>
          </wp:inline>
        </w:drawing>
      </w:r>
    </w:p>
    <w:p>
      <w:pPr>
        <w:spacing w:after="160"/>
        <w:jc w:val="center"/>
      </w:pPr>
      <w:r>
        <w:rPr>
          <w:rFonts w:ascii="Calibri" w:hAnsi="Calibri"/>
          <w:b/>
          <w:color w:val="0F172A"/>
          <w:sz w:val="40"/>
        </w:rPr>
        <w:t>DIAGNOSTIQUER POUR MIEUX PROTÉGER</w:t>
      </w:r>
    </w:p>
    <w:p>
      <w:pPr>
        <w:spacing w:after="440"/>
        <w:jc w:val="center"/>
      </w:pPr>
      <w:r>
        <w:rPr>
          <w:rFonts w:ascii="Calibri" w:hAnsi="Calibri"/>
          <w:color w:val="64748B"/>
          <w:sz w:val="26"/>
        </w:rPr>
        <w:t>Prochaine étape proposée: un atelier de cadrage du pilote avec les partenaires intéressés.</w:t>
      </w:r>
    </w:p>
    <w:p>
      <w:pPr>
        <w:spacing w:before="80" w:after="200" w:line="288" w:lineRule="auto"/>
        <w:ind w:left="144" w:right="144"/>
        <w:shd w:fill="FFF3ED"/>
        <w:pBdr>
          <w:left w:val="single" w:sz="20" w:space="10" w:color="EB5F2A"/>
        </w:pBdr>
      </w:pPr>
      <w:r>
        <w:rPr>
          <w:rFonts w:ascii="Calibri" w:hAnsi="Calibri"/>
          <w:b/>
          <w:color w:val="0F172A"/>
          <w:sz w:val="22"/>
        </w:rPr>
        <w:t xml:space="preserve">Contact: </w:t>
      </w:r>
      <w:r>
        <w:rPr>
          <w:rFonts w:ascii="Calibri" w:hAnsi="Calibri"/>
          <w:color w:val="0F172A"/>
          <w:sz w:val="22"/>
        </w:rPr>
        <w:t>Ligue Nigérienne des Droits des Femmes | Niamey, Niger | lndf.niger@gmail.com</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color w:val="64748B"/>
        <w:sz w:val="16"/>
      </w:rPr>
      <w:t>Ligue Nigérienne des Droits des Femmes  |  Document de travail</w:t>
    </w:r>
    <w:r>
      <w:rPr>
        <w:rFonts w:ascii="Calibri" w:hAnsi="Calibri"/>
        <w:color w:val="64748B"/>
        <w:sz w:val="16"/>
      </w:rPr>
      <w:tab/>
      <w:t xml:space="preserve">Page </w:t>
    </w:r>
    <w:r>
      <w:rPr>
        <w:rFonts w:ascii="Calibri" w:hAnsi="Calibri"/>
        <w:color w:val="64748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4748B"/>
        <w:sz w:val="17"/>
      </w:rPr>
      <w:t>ALERTE VIOLENCE  |  DOSSIER PARTENAIRES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jc w:val="center"/>
    </w:pPr>
    <w:rPr>
      <w:rFonts w:asciiTheme="majorHAnsi" w:eastAsiaTheme="majorEastAsia" w:hAnsiTheme="majorHAnsi" w:cstheme="majorBidi" w:ascii="Calibri" w:hAnsi="Calibri"/>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jc w:val="center"/>
    </w:pPr>
    <w:rPr>
      <w:rFonts w:asciiTheme="majorHAnsi" w:eastAsiaTheme="majorEastAsia" w:hAnsiTheme="majorHAnsi" w:cstheme="majorBidi" w:ascii="Calibri" w:hAnsi="Calibri"/>
      <w:i/>
      <w:iCs/>
      <w:color w:val="6474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who.int/fr/news-room/fact-sheets/detail/violence-against-women" TargetMode="External"/><Relationship Id="rId13" Type="http://schemas.openxmlformats.org/officeDocument/2006/relationships/hyperlink" Target="https://data.unwomen.org/country/niger" TargetMode="External"/><Relationship Id="rId14" Type="http://schemas.openxmlformats.org/officeDocument/2006/relationships/hyperlink" Target="https://www.unfpa.org/sites/default/files/resource-pdf/Niger_Situation_Report_August_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ALERTE VIOLENCE - Dossier de présentation et de partenariat</dc:title>
  <dc:subject>Argumentaire partenaire et trame PowerPoint</dc:subject>
  <dc:creator>Ligue Nigérienne des Droits des Femmes</dc:creator>
  <cp:keywords>ALERTE VIOLENCE, LNDF, partenaires, VBG, diagnostic, Niger</cp:keywords>
  <dc:description>generated by python-docx</dc:description>
  <cp:lastModifiedBy/>
  <cp:revision>1</cp:revision>
  <dcterms:created xsi:type="dcterms:W3CDTF">2013-12-23T23:15:00Z</dcterms:created>
  <dcterms:modified xsi:type="dcterms:W3CDTF">2013-12-23T23:15:00Z</dcterms:modified>
  <cp:category/>
</cp:coreProperties>
</file>