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F497D"/>
              <w:top w:val="none"/>
              <w:bottom w:val="none"/>
              <w:right w:val="none"/>
            </w:tcBorders>
          </w:tcPr>
          <w:p>
            <w:pPr>
              <w:spacing w:after="80"/>
            </w:pPr>
            <w:r>
              <w:rPr>
                <w:rFonts w:ascii="Calibri" w:hAnsi="Calibri"/>
                <w:b/>
                <w:color w:val="1F497D"/>
                <w:sz w:val="21"/>
              </w:rPr>
              <w:t>SWU 003 — Final Project System Design &amp; Governance Document</w:t>
              <w:br/>
            </w:r>
            <w:r>
              <w:rPr>
                <w:rFonts w:ascii="Calibri" w:hAnsi="Calibri"/>
                <w:color w:val="3C3C3C"/>
                <w:sz w:val="19"/>
              </w:rPr>
              <w:t>Project: Optimizing Resource Allocation in Disaster Relief Operations Through Web-Based Donation System</w:t>
              <w:br/>
              <w:t>Organization: Rise Above Foundation Cebu | Southwestern University PHINMA</w:t>
              <w:br/>
              <w:t>Team Members: Julie Anne Utrera, Aubrie Marie Dual, Sheena Marie Dinaguit, James Lloyd Isidro</w:t>
              <w:br/>
              <w:t>Sections Included: 3.5 Database Metadata, 3.6 Environments, 3.7 Service Accounts, and 4.2.2 - 4.2.7 Governance Standards</w:t>
            </w:r>
          </w:p>
        </w:tc>
      </w:tr>
    </w:tbl>
    <w:p/>
    <w:p>
      <w:pPr>
        <w:pStyle w:val="Heading1"/>
        <w:spacing w:before="320" w:after="120"/>
      </w:pPr>
      <w:r>
        <w:rPr>
          <w:rFonts w:ascii="Calibri" w:hAnsi="Calibri"/>
          <w:b/>
          <w:color w:val="1F497D"/>
          <w:sz w:val="32"/>
        </w:rPr>
        <w:t>3.5. Database Metadata</w:t>
      </w:r>
    </w:p>
    <w:p>
      <w:pPr>
        <w:spacing w:after="80" w:line="276" w:lineRule="auto"/>
      </w:pPr>
      <w:r>
        <w:rPr>
          <w:rFonts w:ascii="Calibri" w:hAnsi="Calibri"/>
          <w:i w:val="0"/>
          <w:color w:val="282828"/>
          <w:sz w:val="21"/>
        </w:rPr>
        <w:t>The system utilizes a relational database management system hosted on TiDB Cloud (Serverless MySQL 8.0 compatible engine) operating with utf8mb4 character set and utf8mb4_general_ci collation. The complete schema comprises twenty-seven (27) normalized tables structured across user role-based access control, donation lifecycles, relief inventory tracking, kit repacking operations, calamity distribution logistics, volunteer shift scheduling, and cryptographically verifiable digital certificates.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F497D"/>
              <w:top w:val="none"/>
              <w:bottom w:val="none"/>
              <w:right w:val="none"/>
            </w:tcBorders>
          </w:tcPr>
          <w:p>
            <w:pPr>
              <w:spacing w:after="80"/>
            </w:pPr>
            <w:r>
              <w:rPr>
                <w:rFonts w:ascii="Calibri" w:hAnsi="Calibri"/>
                <w:b/>
                <w:color w:val="1F497D"/>
                <w:sz w:val="21"/>
              </w:rPr>
              <w:t>Database Metadata Link &amp; Separate File Specification:</w:t>
              <w:br/>
            </w:r>
            <w:r>
              <w:rPr>
                <w:rFonts w:ascii="Calibri" w:hAnsi="Calibri"/>
                <w:color w:val="3C3C3C"/>
                <w:sz w:val="19"/>
              </w:rPr>
              <w:t>GitHub Repository Database Schema Link:</w:t>
              <w:br/>
              <w:t>https://github.com/jamis-ops/Donation-Management-System/blob/main/database/donation_system.sql</w:t>
              <w:br/>
              <w:br/>
              <w:t>Complete Data Dictionary &amp; Metadata Documentation Link:</w:t>
              <w:br/>
              <w:t>https://github.com/jamis-ops/Donation-Management-System/blob/main/database/DATABASE_METADATA.md</w:t>
            </w:r>
          </w:p>
        </w:tc>
      </w:tr>
    </w:tbl>
    <w:p/>
    <w:p>
      <w:pPr>
        <w:spacing w:after="80" w:line="276" w:lineRule="auto"/>
      </w:pPr>
      <w:r>
        <w:rPr>
          <w:rFonts w:ascii="Calibri" w:hAnsi="Calibri"/>
          <w:b/>
          <w:color w:val="1E1E1E"/>
          <w:sz w:val="21"/>
        </w:rPr>
        <w:t xml:space="preserve">Table Summary: </w:t>
      </w:r>
      <w:r>
        <w:rPr>
          <w:rFonts w:ascii="Calibri" w:hAnsi="Calibri"/>
          <w:i w:val="0"/>
          <w:color w:val="282828"/>
          <w:sz w:val="21"/>
        </w:rPr>
        <w:t>Summary of Database Tables &amp; Entity Relationships: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2016"/>
            <w:shd w:fill="1F497D"/>
            <w:tcMar>
              <w:top w:w="120" w:type="dxa"/>
              <w:bottom w:w="120" w:type="dxa"/>
              <w:left w:w="150" w:type="dxa"/>
              <w:right w:w="150" w:type="dxa"/>
            </w:tcMar>
          </w:tcPr>
          <w:p>
            <w:pPr>
              <w:jc w:val="center"/>
            </w:pPr>
            <w:r>
              <w:rPr>
                <w:rFonts w:ascii="Calibri" w:hAnsi="Calibri"/>
                <w:b/>
                <w:color w:val="FFFFFF"/>
                <w:sz w:val="20"/>
              </w:rPr>
              <w:t>Module</w:t>
            </w:r>
          </w:p>
        </w:tc>
        <w:tc>
          <w:tcPr>
            <w:tcW w:type="dxa" w:w="2016"/>
            <w:shd w:fill="1F497D"/>
            <w:tcMar>
              <w:top w:w="120" w:type="dxa"/>
              <w:bottom w:w="120" w:type="dxa"/>
              <w:left w:w="150" w:type="dxa"/>
              <w:right w:w="150" w:type="dxa"/>
            </w:tcMar>
          </w:tcPr>
          <w:p>
            <w:pPr>
              <w:jc w:val="center"/>
            </w:pPr>
            <w:r>
              <w:rPr>
                <w:rFonts w:ascii="Calibri" w:hAnsi="Calibri"/>
                <w:b/>
                <w:color w:val="FFFFFF"/>
                <w:sz w:val="20"/>
              </w:rPr>
              <w:t>Table Name</w:t>
            </w:r>
          </w:p>
        </w:tc>
        <w:tc>
          <w:tcPr>
            <w:tcW w:type="dxa" w:w="1440"/>
            <w:shd w:fill="1F497D"/>
            <w:tcMar>
              <w:top w:w="120" w:type="dxa"/>
              <w:bottom w:w="120" w:type="dxa"/>
              <w:left w:w="150" w:type="dxa"/>
              <w:right w:w="150" w:type="dxa"/>
            </w:tcMar>
          </w:tcPr>
          <w:p>
            <w:pPr>
              <w:jc w:val="center"/>
            </w:pPr>
            <w:r>
              <w:rPr>
                <w:rFonts w:ascii="Calibri" w:hAnsi="Calibri"/>
                <w:b/>
                <w:color w:val="FFFFFF"/>
                <w:sz w:val="20"/>
              </w:rPr>
              <w:t>Primary Key</w:t>
            </w:r>
          </w:p>
        </w:tc>
        <w:tc>
          <w:tcPr>
            <w:tcW w:type="dxa" w:w="1152"/>
            <w:shd w:fill="1F497D"/>
            <w:tcMar>
              <w:top w:w="120" w:type="dxa"/>
              <w:bottom w:w="120" w:type="dxa"/>
              <w:left w:w="150" w:type="dxa"/>
              <w:right w:w="150" w:type="dxa"/>
            </w:tcMar>
          </w:tcPr>
          <w:p>
            <w:pPr>
              <w:jc w:val="center"/>
            </w:pPr>
            <w:r>
              <w:rPr>
                <w:rFonts w:ascii="Calibri" w:hAnsi="Calibri"/>
                <w:b/>
                <w:color w:val="FFFFFF"/>
                <w:sz w:val="20"/>
              </w:rPr>
              <w:t>Engine</w:t>
            </w:r>
          </w:p>
        </w:tc>
        <w:tc>
          <w:tcPr>
            <w:tcW w:type="dxa" w:w="3456"/>
            <w:shd w:fill="1F497D"/>
            <w:tcMar>
              <w:top w:w="120" w:type="dxa"/>
              <w:bottom w:w="120" w:type="dxa"/>
              <w:left w:w="150" w:type="dxa"/>
              <w:right w:w="150" w:type="dxa"/>
            </w:tcMar>
          </w:tcPr>
          <w:p>
            <w:pPr>
              <w:jc w:val="center"/>
            </w:pPr>
            <w:r>
              <w:rPr>
                <w:rFonts w:ascii="Calibri" w:hAnsi="Calibri"/>
                <w:b/>
                <w:color w:val="FFFFFF"/>
                <w:sz w:val="20"/>
              </w:rPr>
              <w:t>Description &amp; Purpose</w:t>
            </w:r>
          </w:p>
        </w:tc>
      </w:tr>
      <w:tr>
        <w:tc>
          <w:tcPr>
            <w:tcW w:type="dxa" w:w="2016"/>
            <w:shd w:fill="FFFFFF"/>
            <w:tcMar>
              <w:top w:w="100" w:type="dxa"/>
              <w:bottom w:w="100" w:type="dxa"/>
              <w:left w:w="150" w:type="dxa"/>
              <w:right w:w="150" w:type="dxa"/>
            </w:tcMar>
          </w:tcPr>
          <w:p>
            <w:r>
              <w:rPr>
                <w:rFonts w:ascii="Calibri" w:hAnsi="Calibri"/>
                <w:color w:val="1E1E1E"/>
                <w:sz w:val="19"/>
              </w:rPr>
              <w:t>Authentication &amp; RBAC</w:t>
            </w:r>
          </w:p>
        </w:tc>
        <w:tc>
          <w:tcPr>
            <w:tcW w:type="dxa" w:w="2016"/>
            <w:shd w:fill="FFFFFF"/>
            <w:tcMar>
              <w:top w:w="100" w:type="dxa"/>
              <w:bottom w:w="100" w:type="dxa"/>
              <w:left w:w="150" w:type="dxa"/>
              <w:right w:w="150" w:type="dxa"/>
            </w:tcMar>
          </w:tcPr>
          <w:p>
            <w:r>
              <w:rPr>
                <w:rFonts w:ascii="Calibri" w:hAnsi="Calibri"/>
                <w:color w:val="1E1E1E"/>
                <w:sz w:val="19"/>
              </w:rPr>
              <w:t>roles</w:t>
            </w:r>
          </w:p>
        </w:tc>
        <w:tc>
          <w:tcPr>
            <w:tcW w:type="dxa" w:w="1440"/>
            <w:shd w:fill="FFFFFF"/>
            <w:tcMar>
              <w:top w:w="100" w:type="dxa"/>
              <w:bottom w:w="100" w:type="dxa"/>
              <w:left w:w="150" w:type="dxa"/>
              <w:right w:w="150" w:type="dxa"/>
            </w:tcMar>
          </w:tcPr>
          <w:p>
            <w:r>
              <w:rPr>
                <w:rFonts w:ascii="Calibri" w:hAnsi="Calibri"/>
                <w:color w:val="1E1E1E"/>
                <w:sz w:val="19"/>
              </w:rPr>
              <w:t>id (INT)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Defines system privilege tiers (Admin, Staff, Donor, Volunteer, Beneficiary).</w:t>
            </w:r>
          </w:p>
        </w:tc>
      </w:tr>
      <w:tr>
        <w:tc>
          <w:tcPr>
            <w:tcW w:type="dxa" w:w="2016"/>
            <w:shd w:fill="F7F9FC"/>
            <w:tcMar>
              <w:top w:w="100" w:type="dxa"/>
              <w:bottom w:w="100" w:type="dxa"/>
              <w:left w:w="150" w:type="dxa"/>
              <w:right w:w="150" w:type="dxa"/>
            </w:tcMar>
          </w:tcPr>
          <w:p>
            <w:r>
              <w:rPr>
                <w:rFonts w:ascii="Calibri" w:hAnsi="Calibri"/>
                <w:color w:val="1E1E1E"/>
                <w:sz w:val="19"/>
              </w:rPr>
              <w:t>Authentication &amp; RBAC</w:t>
            </w:r>
          </w:p>
        </w:tc>
        <w:tc>
          <w:tcPr>
            <w:tcW w:type="dxa" w:w="2016"/>
            <w:shd w:fill="F7F9FC"/>
            <w:tcMar>
              <w:top w:w="100" w:type="dxa"/>
              <w:bottom w:w="100" w:type="dxa"/>
              <w:left w:w="150" w:type="dxa"/>
              <w:right w:w="150" w:type="dxa"/>
            </w:tcMar>
          </w:tcPr>
          <w:p>
            <w:r>
              <w:rPr>
                <w:rFonts w:ascii="Calibri" w:hAnsi="Calibri"/>
                <w:color w:val="1E1E1E"/>
                <w:sz w:val="19"/>
              </w:rPr>
              <w:t>users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Central user identities, encrypted bcrypt password hashes, status, and audit logs.</w:t>
            </w:r>
          </w:p>
        </w:tc>
      </w:tr>
      <w:tr>
        <w:tc>
          <w:tcPr>
            <w:tcW w:type="dxa" w:w="2016"/>
            <w:shd w:fill="FFFFFF"/>
            <w:tcMar>
              <w:top w:w="100" w:type="dxa"/>
              <w:bottom w:w="100" w:type="dxa"/>
              <w:left w:w="150" w:type="dxa"/>
              <w:right w:w="150" w:type="dxa"/>
            </w:tcMar>
          </w:tcPr>
          <w:p>
            <w:r>
              <w:rPr>
                <w:rFonts w:ascii="Calibri" w:hAnsi="Calibri"/>
                <w:color w:val="1E1E1E"/>
                <w:sz w:val="19"/>
              </w:rPr>
              <w:t>Authentication &amp; RBAC</w:t>
            </w:r>
          </w:p>
        </w:tc>
        <w:tc>
          <w:tcPr>
            <w:tcW w:type="dxa" w:w="2016"/>
            <w:shd w:fill="FFFFFF"/>
            <w:tcMar>
              <w:top w:w="100" w:type="dxa"/>
              <w:bottom w:w="100" w:type="dxa"/>
              <w:left w:w="150" w:type="dxa"/>
              <w:right w:w="150" w:type="dxa"/>
            </w:tcMar>
          </w:tcPr>
          <w:p>
            <w:r>
              <w:rPr>
                <w:rFonts w:ascii="Calibri" w:hAnsi="Calibri"/>
                <w:color w:val="1E1E1E"/>
                <w:sz w:val="19"/>
              </w:rPr>
              <w:t>password_resets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Time-limited 6-digit recovery codes, temp tokens, and brute-force counters.</w:t>
            </w:r>
          </w:p>
        </w:tc>
      </w:tr>
      <w:tr>
        <w:tc>
          <w:tcPr>
            <w:tcW w:type="dxa" w:w="2016"/>
            <w:shd w:fill="F7F9FC"/>
            <w:tcMar>
              <w:top w:w="100" w:type="dxa"/>
              <w:bottom w:w="100" w:type="dxa"/>
              <w:left w:w="150" w:type="dxa"/>
              <w:right w:w="150" w:type="dxa"/>
            </w:tcMar>
          </w:tcPr>
          <w:p>
            <w:r>
              <w:rPr>
                <w:rFonts w:ascii="Calibri" w:hAnsi="Calibri"/>
                <w:color w:val="1E1E1E"/>
                <w:sz w:val="19"/>
              </w:rPr>
              <w:t>Donations</w:t>
            </w:r>
          </w:p>
        </w:tc>
        <w:tc>
          <w:tcPr>
            <w:tcW w:type="dxa" w:w="2016"/>
            <w:shd w:fill="F7F9FC"/>
            <w:tcMar>
              <w:top w:w="100" w:type="dxa"/>
              <w:bottom w:w="100" w:type="dxa"/>
              <w:left w:w="150" w:type="dxa"/>
              <w:right w:w="150" w:type="dxa"/>
            </w:tcMar>
          </w:tcPr>
          <w:p>
            <w:r>
              <w:rPr>
                <w:rFonts w:ascii="Calibri" w:hAnsi="Calibri"/>
                <w:color w:val="1E1E1E"/>
                <w:sz w:val="19"/>
              </w:rPr>
              <w:t>donors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Individual and corporate donor profiles, unique donor codes, and organization links.</w:t>
            </w:r>
          </w:p>
        </w:tc>
      </w:tr>
      <w:tr>
        <w:tc>
          <w:tcPr>
            <w:tcW w:type="dxa" w:w="2016"/>
            <w:shd w:fill="FFFFFF"/>
            <w:tcMar>
              <w:top w:w="100" w:type="dxa"/>
              <w:bottom w:w="100" w:type="dxa"/>
              <w:left w:w="150" w:type="dxa"/>
              <w:right w:w="150" w:type="dxa"/>
            </w:tcMar>
          </w:tcPr>
          <w:p>
            <w:r>
              <w:rPr>
                <w:rFonts w:ascii="Calibri" w:hAnsi="Calibri"/>
                <w:color w:val="1E1E1E"/>
                <w:sz w:val="19"/>
              </w:rPr>
              <w:t>Donations</w:t>
            </w:r>
          </w:p>
        </w:tc>
        <w:tc>
          <w:tcPr>
            <w:tcW w:type="dxa" w:w="2016"/>
            <w:shd w:fill="FFFFFF"/>
            <w:tcMar>
              <w:top w:w="100" w:type="dxa"/>
              <w:bottom w:w="100" w:type="dxa"/>
              <w:left w:w="150" w:type="dxa"/>
              <w:right w:w="150" w:type="dxa"/>
            </w:tcMar>
          </w:tcPr>
          <w:p>
            <w:r>
              <w:rPr>
                <w:rFonts w:ascii="Calibri" w:hAnsi="Calibri"/>
                <w:color w:val="1E1E1E"/>
                <w:sz w:val="19"/>
              </w:rPr>
              <w:t>donations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Monetary and in-kind donation ledgers, public tracking codes, payment proofs, statuses.</w:t>
            </w:r>
          </w:p>
        </w:tc>
      </w:tr>
      <w:tr>
        <w:tc>
          <w:tcPr>
            <w:tcW w:type="dxa" w:w="2016"/>
            <w:shd w:fill="F7F9FC"/>
            <w:tcMar>
              <w:top w:w="100" w:type="dxa"/>
              <w:bottom w:w="100" w:type="dxa"/>
              <w:left w:w="150" w:type="dxa"/>
              <w:right w:w="150" w:type="dxa"/>
            </w:tcMar>
          </w:tcPr>
          <w:p>
            <w:r>
              <w:rPr>
                <w:rFonts w:ascii="Calibri" w:hAnsi="Calibri"/>
                <w:color w:val="1E1E1E"/>
                <w:sz w:val="19"/>
              </w:rPr>
              <w:t>Donations</w:t>
            </w:r>
          </w:p>
        </w:tc>
        <w:tc>
          <w:tcPr>
            <w:tcW w:type="dxa" w:w="2016"/>
            <w:shd w:fill="F7F9FC"/>
            <w:tcMar>
              <w:top w:w="100" w:type="dxa"/>
              <w:bottom w:w="100" w:type="dxa"/>
              <w:left w:w="150" w:type="dxa"/>
              <w:right w:w="150" w:type="dxa"/>
            </w:tcMar>
          </w:tcPr>
          <w:p>
            <w:r>
              <w:rPr>
                <w:rFonts w:ascii="Calibri" w:hAnsi="Calibri"/>
                <w:color w:val="1E1E1E"/>
                <w:sz w:val="19"/>
              </w:rPr>
              <w:t>donation_updates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Real-time timeline audit trail (Received, Inspected, Allocated, Dispatched).</w:t>
            </w:r>
          </w:p>
        </w:tc>
      </w:tr>
      <w:tr>
        <w:tc>
          <w:tcPr>
            <w:tcW w:type="dxa" w:w="2016"/>
            <w:shd w:fill="FFFFFF"/>
            <w:tcMar>
              <w:top w:w="100" w:type="dxa"/>
              <w:bottom w:w="100" w:type="dxa"/>
              <w:left w:w="150" w:type="dxa"/>
              <w:right w:w="150" w:type="dxa"/>
            </w:tcMar>
          </w:tcPr>
          <w:p>
            <w:r>
              <w:rPr>
                <w:rFonts w:ascii="Calibri" w:hAnsi="Calibri"/>
                <w:color w:val="1E1E1E"/>
                <w:sz w:val="19"/>
              </w:rPr>
              <w:t>Donations</w:t>
            </w:r>
          </w:p>
        </w:tc>
        <w:tc>
          <w:tcPr>
            <w:tcW w:type="dxa" w:w="2016"/>
            <w:shd w:fill="FFFFFF"/>
            <w:tcMar>
              <w:top w:w="100" w:type="dxa"/>
              <w:bottom w:w="100" w:type="dxa"/>
              <w:left w:w="150" w:type="dxa"/>
              <w:right w:w="150" w:type="dxa"/>
            </w:tcMar>
          </w:tcPr>
          <w:p>
            <w:r>
              <w:rPr>
                <w:rFonts w:ascii="Calibri" w:hAnsi="Calibri"/>
                <w:color w:val="1E1E1E"/>
                <w:sz w:val="19"/>
              </w:rPr>
              <w:t>donation_procurements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Direct allocations linking monetary funds to specific relief item purchases.</w:t>
            </w:r>
          </w:p>
        </w:tc>
      </w:tr>
      <w:tr>
        <w:tc>
          <w:tcPr>
            <w:tcW w:type="dxa" w:w="2016"/>
            <w:shd w:fill="F7F9FC"/>
            <w:tcMar>
              <w:top w:w="100" w:type="dxa"/>
              <w:bottom w:w="100" w:type="dxa"/>
              <w:left w:w="150" w:type="dxa"/>
              <w:right w:w="150" w:type="dxa"/>
            </w:tcMar>
          </w:tcPr>
          <w:p>
            <w:r>
              <w:rPr>
                <w:rFonts w:ascii="Calibri" w:hAnsi="Calibri"/>
                <w:color w:val="1E1E1E"/>
                <w:sz w:val="19"/>
              </w:rPr>
              <w:t>Beneficiaries</w:t>
            </w:r>
          </w:p>
        </w:tc>
        <w:tc>
          <w:tcPr>
            <w:tcW w:type="dxa" w:w="2016"/>
            <w:shd w:fill="F7F9FC"/>
            <w:tcMar>
              <w:top w:w="100" w:type="dxa"/>
              <w:bottom w:w="100" w:type="dxa"/>
              <w:left w:w="150" w:type="dxa"/>
              <w:right w:w="150" w:type="dxa"/>
            </w:tcMar>
          </w:tcPr>
          <w:p>
            <w:r>
              <w:rPr>
                <w:rFonts w:ascii="Calibri" w:hAnsi="Calibri"/>
                <w:color w:val="1E1E1E"/>
                <w:sz w:val="19"/>
              </w:rPr>
              <w:t>beneficiaries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Barangay units, evacuation centers, family head profiles, and vulnerability scores.</w:t>
            </w:r>
          </w:p>
        </w:tc>
      </w:tr>
      <w:tr>
        <w:tc>
          <w:tcPr>
            <w:tcW w:type="dxa" w:w="2016"/>
            <w:shd w:fill="FFFFFF"/>
            <w:tcMar>
              <w:top w:w="100" w:type="dxa"/>
              <w:bottom w:w="100" w:type="dxa"/>
              <w:left w:w="150" w:type="dxa"/>
              <w:right w:w="150" w:type="dxa"/>
            </w:tcMar>
          </w:tcPr>
          <w:p>
            <w:r>
              <w:rPr>
                <w:rFonts w:ascii="Calibri" w:hAnsi="Calibri"/>
                <w:color w:val="1E1E1E"/>
                <w:sz w:val="19"/>
              </w:rPr>
              <w:t>Beneficiaries</w:t>
            </w:r>
          </w:p>
        </w:tc>
        <w:tc>
          <w:tcPr>
            <w:tcW w:type="dxa" w:w="2016"/>
            <w:shd w:fill="FFFFFF"/>
            <w:tcMar>
              <w:top w:w="100" w:type="dxa"/>
              <w:bottom w:w="100" w:type="dxa"/>
              <w:left w:w="150" w:type="dxa"/>
              <w:right w:w="150" w:type="dxa"/>
            </w:tcMar>
          </w:tcPr>
          <w:p>
            <w:r>
              <w:rPr>
                <w:rFonts w:ascii="Calibri" w:hAnsi="Calibri"/>
                <w:color w:val="1E1E1E"/>
                <w:sz w:val="19"/>
              </w:rPr>
              <w:t>need_types</w:t>
            </w:r>
          </w:p>
        </w:tc>
        <w:tc>
          <w:tcPr>
            <w:tcW w:type="dxa" w:w="1440"/>
            <w:shd w:fill="FFFFFF"/>
            <w:tcMar>
              <w:top w:w="100" w:type="dxa"/>
              <w:bottom w:w="100" w:type="dxa"/>
              <w:left w:w="150" w:type="dxa"/>
              <w:right w:w="150" w:type="dxa"/>
            </w:tcMar>
          </w:tcPr>
          <w:p>
            <w:r>
              <w:rPr>
                <w:rFonts w:ascii="Calibri" w:hAnsi="Calibri"/>
                <w:color w:val="1E1E1E"/>
                <w:sz w:val="19"/>
              </w:rPr>
              <w:t>id (INT)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Configurable lookup catalog of assistance requirements.</w:t>
            </w:r>
          </w:p>
        </w:tc>
      </w:tr>
      <w:tr>
        <w:tc>
          <w:tcPr>
            <w:tcW w:type="dxa" w:w="2016"/>
            <w:shd w:fill="F7F9FC"/>
            <w:tcMar>
              <w:top w:w="100" w:type="dxa"/>
              <w:bottom w:w="100" w:type="dxa"/>
              <w:left w:w="150" w:type="dxa"/>
              <w:right w:w="150" w:type="dxa"/>
            </w:tcMar>
          </w:tcPr>
          <w:p>
            <w:r>
              <w:rPr>
                <w:rFonts w:ascii="Calibri" w:hAnsi="Calibri"/>
                <w:color w:val="1E1E1E"/>
                <w:sz w:val="19"/>
              </w:rPr>
              <w:t>Beneficiaries</w:t>
            </w:r>
          </w:p>
        </w:tc>
        <w:tc>
          <w:tcPr>
            <w:tcW w:type="dxa" w:w="2016"/>
            <w:shd w:fill="F7F9FC"/>
            <w:tcMar>
              <w:top w:w="100" w:type="dxa"/>
              <w:bottom w:w="100" w:type="dxa"/>
              <w:left w:w="150" w:type="dxa"/>
              <w:right w:w="150" w:type="dxa"/>
            </w:tcMar>
          </w:tcPr>
          <w:p>
            <w:r>
              <w:rPr>
                <w:rFonts w:ascii="Calibri" w:hAnsi="Calibri"/>
                <w:color w:val="1E1E1E"/>
                <w:sz w:val="19"/>
              </w:rPr>
              <w:t>barangay_types</w:t>
            </w:r>
          </w:p>
        </w:tc>
        <w:tc>
          <w:tcPr>
            <w:tcW w:type="dxa" w:w="1440"/>
            <w:shd w:fill="F7F9FC"/>
            <w:tcMar>
              <w:top w:w="100" w:type="dxa"/>
              <w:bottom w:w="100" w:type="dxa"/>
              <w:left w:w="150" w:type="dxa"/>
              <w:right w:w="150" w:type="dxa"/>
            </w:tcMar>
          </w:tcPr>
          <w:p>
            <w:r>
              <w:rPr>
                <w:rFonts w:ascii="Calibri" w:hAnsi="Calibri"/>
                <w:color w:val="1E1E1E"/>
                <w:sz w:val="19"/>
              </w:rPr>
              <w:t>id (INT)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Categorization of barangay jurisdictions across Cebu.</w:t>
            </w:r>
          </w:p>
        </w:tc>
      </w:tr>
      <w:tr>
        <w:tc>
          <w:tcPr>
            <w:tcW w:type="dxa" w:w="2016"/>
            <w:shd w:fill="FFFFFF"/>
            <w:tcMar>
              <w:top w:w="100" w:type="dxa"/>
              <w:bottom w:w="100" w:type="dxa"/>
              <w:left w:w="150" w:type="dxa"/>
              <w:right w:w="150" w:type="dxa"/>
            </w:tcMar>
          </w:tcPr>
          <w:p>
            <w:r>
              <w:rPr>
                <w:rFonts w:ascii="Calibri" w:hAnsi="Calibri"/>
                <w:color w:val="1E1E1E"/>
                <w:sz w:val="19"/>
              </w:rPr>
              <w:t>Beneficiaries</w:t>
            </w:r>
          </w:p>
        </w:tc>
        <w:tc>
          <w:tcPr>
            <w:tcW w:type="dxa" w:w="2016"/>
            <w:shd w:fill="FFFFFF"/>
            <w:tcMar>
              <w:top w:w="100" w:type="dxa"/>
              <w:bottom w:w="100" w:type="dxa"/>
              <w:left w:w="150" w:type="dxa"/>
              <w:right w:w="150" w:type="dxa"/>
            </w:tcMar>
          </w:tcPr>
          <w:p>
            <w:r>
              <w:rPr>
                <w:rFonts w:ascii="Calibri" w:hAnsi="Calibri"/>
                <w:color w:val="1E1E1E"/>
                <w:sz w:val="19"/>
              </w:rPr>
              <w:t>assistance_requests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Formal calamity assistance requests with urgency ratings and status tracking.</w:t>
            </w:r>
          </w:p>
        </w:tc>
      </w:tr>
      <w:tr>
        <w:tc>
          <w:tcPr>
            <w:tcW w:type="dxa" w:w="2016"/>
            <w:shd w:fill="F7F9FC"/>
            <w:tcMar>
              <w:top w:w="100" w:type="dxa"/>
              <w:bottom w:w="100" w:type="dxa"/>
              <w:left w:w="150" w:type="dxa"/>
              <w:right w:w="150" w:type="dxa"/>
            </w:tcMar>
          </w:tcPr>
          <w:p>
            <w:r>
              <w:rPr>
                <w:rFonts w:ascii="Calibri" w:hAnsi="Calibri"/>
                <w:color w:val="1E1E1E"/>
                <w:sz w:val="19"/>
              </w:rPr>
              <w:t>Inventory &amp; Repacking</w:t>
            </w:r>
          </w:p>
        </w:tc>
        <w:tc>
          <w:tcPr>
            <w:tcW w:type="dxa" w:w="2016"/>
            <w:shd w:fill="F7F9FC"/>
            <w:tcMar>
              <w:top w:w="100" w:type="dxa"/>
              <w:bottom w:w="100" w:type="dxa"/>
              <w:left w:w="150" w:type="dxa"/>
              <w:right w:w="150" w:type="dxa"/>
            </w:tcMar>
          </w:tcPr>
          <w:p>
            <w:r>
              <w:rPr>
                <w:rFonts w:ascii="Calibri" w:hAnsi="Calibri"/>
                <w:color w:val="1E1E1E"/>
                <w:sz w:val="19"/>
              </w:rPr>
              <w:t>inventory_items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Warehouse relief stock, quantities on hand, reorder thresholds, and expiration dates.</w:t>
            </w:r>
          </w:p>
        </w:tc>
      </w:tr>
      <w:tr>
        <w:tc>
          <w:tcPr>
            <w:tcW w:type="dxa" w:w="2016"/>
            <w:shd w:fill="FFFFFF"/>
            <w:tcMar>
              <w:top w:w="100" w:type="dxa"/>
              <w:bottom w:w="100" w:type="dxa"/>
              <w:left w:w="150" w:type="dxa"/>
              <w:right w:w="150" w:type="dxa"/>
            </w:tcMar>
          </w:tcPr>
          <w:p>
            <w:r>
              <w:rPr>
                <w:rFonts w:ascii="Calibri" w:hAnsi="Calibri"/>
                <w:color w:val="1E1E1E"/>
                <w:sz w:val="19"/>
              </w:rPr>
              <w:t>Inventory &amp; Repacking</w:t>
            </w:r>
          </w:p>
        </w:tc>
        <w:tc>
          <w:tcPr>
            <w:tcW w:type="dxa" w:w="2016"/>
            <w:shd w:fill="FFFFFF"/>
            <w:tcMar>
              <w:top w:w="100" w:type="dxa"/>
              <w:bottom w:w="100" w:type="dxa"/>
              <w:left w:w="150" w:type="dxa"/>
              <w:right w:w="150" w:type="dxa"/>
            </w:tcMar>
          </w:tcPr>
          <w:p>
            <w:r>
              <w:rPr>
                <w:rFonts w:ascii="Calibri" w:hAnsi="Calibri"/>
                <w:color w:val="1E1E1E"/>
                <w:sz w:val="19"/>
              </w:rPr>
              <w:t>repacking_jobs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Work orders bundling individual stock into standardized family food packs.</w:t>
            </w:r>
          </w:p>
        </w:tc>
      </w:tr>
      <w:tr>
        <w:tc>
          <w:tcPr>
            <w:tcW w:type="dxa" w:w="2016"/>
            <w:shd w:fill="F7F9FC"/>
            <w:tcMar>
              <w:top w:w="100" w:type="dxa"/>
              <w:bottom w:w="100" w:type="dxa"/>
              <w:left w:w="150" w:type="dxa"/>
              <w:right w:w="150" w:type="dxa"/>
            </w:tcMar>
          </w:tcPr>
          <w:p>
            <w:r>
              <w:rPr>
                <w:rFonts w:ascii="Calibri" w:hAnsi="Calibri"/>
                <w:color w:val="1E1E1E"/>
                <w:sz w:val="19"/>
              </w:rPr>
              <w:t>Distribution</w:t>
            </w:r>
          </w:p>
        </w:tc>
        <w:tc>
          <w:tcPr>
            <w:tcW w:type="dxa" w:w="2016"/>
            <w:shd w:fill="F7F9FC"/>
            <w:tcMar>
              <w:top w:w="100" w:type="dxa"/>
              <w:bottom w:w="100" w:type="dxa"/>
              <w:left w:w="150" w:type="dxa"/>
              <w:right w:w="150" w:type="dxa"/>
            </w:tcMar>
          </w:tcPr>
          <w:p>
            <w:r>
              <w:rPr>
                <w:rFonts w:ascii="Calibri" w:hAnsi="Calibri"/>
                <w:color w:val="1E1E1E"/>
                <w:sz w:val="19"/>
              </w:rPr>
              <w:t>distributions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Disaster relief missions, barangay venues, dispatch logs, and completion verification.</w:t>
            </w:r>
          </w:p>
        </w:tc>
      </w:tr>
      <w:tr>
        <w:tc>
          <w:tcPr>
            <w:tcW w:type="dxa" w:w="2016"/>
            <w:shd w:fill="FFFFFF"/>
            <w:tcMar>
              <w:top w:w="100" w:type="dxa"/>
              <w:bottom w:w="100" w:type="dxa"/>
              <w:left w:w="150" w:type="dxa"/>
              <w:right w:w="150" w:type="dxa"/>
            </w:tcMar>
          </w:tcPr>
          <w:p>
            <w:r>
              <w:rPr>
                <w:rFonts w:ascii="Calibri" w:hAnsi="Calibri"/>
                <w:color w:val="1E1E1E"/>
                <w:sz w:val="19"/>
              </w:rPr>
              <w:t>Distribution</w:t>
            </w:r>
          </w:p>
        </w:tc>
        <w:tc>
          <w:tcPr>
            <w:tcW w:type="dxa" w:w="2016"/>
            <w:shd w:fill="FFFFFF"/>
            <w:tcMar>
              <w:top w:w="100" w:type="dxa"/>
              <w:bottom w:w="100" w:type="dxa"/>
              <w:left w:w="150" w:type="dxa"/>
              <w:right w:w="150" w:type="dxa"/>
            </w:tcMar>
          </w:tcPr>
          <w:p>
            <w:r>
              <w:rPr>
                <w:rFonts w:ascii="Calibri" w:hAnsi="Calibri"/>
                <w:color w:val="1E1E1E"/>
                <w:sz w:val="19"/>
              </w:rPr>
              <w:t>allocations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Linkage between assembled relief packs and specific distribution batches.</w:t>
            </w:r>
          </w:p>
        </w:tc>
      </w:tr>
      <w:tr>
        <w:tc>
          <w:tcPr>
            <w:tcW w:type="dxa" w:w="2016"/>
            <w:shd w:fill="F7F9FC"/>
            <w:tcMar>
              <w:top w:w="100" w:type="dxa"/>
              <w:bottom w:w="100" w:type="dxa"/>
              <w:left w:w="150" w:type="dxa"/>
              <w:right w:w="150" w:type="dxa"/>
            </w:tcMar>
          </w:tcPr>
          <w:p>
            <w:r>
              <w:rPr>
                <w:rFonts w:ascii="Calibri" w:hAnsi="Calibri"/>
                <w:color w:val="1E1E1E"/>
                <w:sz w:val="19"/>
              </w:rPr>
              <w:t>Distribution</w:t>
            </w:r>
          </w:p>
        </w:tc>
        <w:tc>
          <w:tcPr>
            <w:tcW w:type="dxa" w:w="2016"/>
            <w:shd w:fill="F7F9FC"/>
            <w:tcMar>
              <w:top w:w="100" w:type="dxa"/>
              <w:bottom w:w="100" w:type="dxa"/>
              <w:left w:w="150" w:type="dxa"/>
              <w:right w:w="150" w:type="dxa"/>
            </w:tcMar>
          </w:tcPr>
          <w:p>
            <w:r>
              <w:rPr>
                <w:rFonts w:ascii="Calibri" w:hAnsi="Calibri"/>
                <w:color w:val="1E1E1E"/>
                <w:sz w:val="19"/>
              </w:rPr>
              <w:t>distribution_proofs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Field-uploaded photo evidence, delivery manifests, and beneficiary sign-offs.</w:t>
            </w:r>
          </w:p>
        </w:tc>
      </w:tr>
      <w:tr>
        <w:tc>
          <w:tcPr>
            <w:tcW w:type="dxa" w:w="2016"/>
            <w:shd w:fill="FFFFFF"/>
            <w:tcMar>
              <w:top w:w="100" w:type="dxa"/>
              <w:bottom w:w="100" w:type="dxa"/>
              <w:left w:w="150" w:type="dxa"/>
              <w:right w:w="150" w:type="dxa"/>
            </w:tcMar>
          </w:tcPr>
          <w:p>
            <w:r>
              <w:rPr>
                <w:rFonts w:ascii="Calibri" w:hAnsi="Calibri"/>
                <w:color w:val="1E1E1E"/>
                <w:sz w:val="19"/>
              </w:rPr>
              <w:t>Volunteers &amp; Operations</w:t>
            </w:r>
          </w:p>
        </w:tc>
        <w:tc>
          <w:tcPr>
            <w:tcW w:type="dxa" w:w="2016"/>
            <w:shd w:fill="FFFFFF"/>
            <w:tcMar>
              <w:top w:w="100" w:type="dxa"/>
              <w:bottom w:w="100" w:type="dxa"/>
              <w:left w:w="150" w:type="dxa"/>
              <w:right w:w="150" w:type="dxa"/>
            </w:tcMar>
          </w:tcPr>
          <w:p>
            <w:r>
              <w:rPr>
                <w:rFonts w:ascii="Calibri" w:hAnsi="Calibri"/>
                <w:color w:val="1E1E1E"/>
                <w:sz w:val="19"/>
              </w:rPr>
              <w:t>volunteers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Volunteer profiles, logged duty hours, skills, and Google Gemini AI CV summaries.</w:t>
            </w:r>
          </w:p>
        </w:tc>
      </w:tr>
      <w:tr>
        <w:tc>
          <w:tcPr>
            <w:tcW w:type="dxa" w:w="2016"/>
            <w:shd w:fill="F7F9FC"/>
            <w:tcMar>
              <w:top w:w="100" w:type="dxa"/>
              <w:bottom w:w="100" w:type="dxa"/>
              <w:left w:w="150" w:type="dxa"/>
              <w:right w:w="150" w:type="dxa"/>
            </w:tcMar>
          </w:tcPr>
          <w:p>
            <w:r>
              <w:rPr>
                <w:rFonts w:ascii="Calibri" w:hAnsi="Calibri"/>
                <w:color w:val="1E1E1E"/>
                <w:sz w:val="19"/>
              </w:rPr>
              <w:t>Volunteers &amp; Operations</w:t>
            </w:r>
          </w:p>
        </w:tc>
        <w:tc>
          <w:tcPr>
            <w:tcW w:type="dxa" w:w="2016"/>
            <w:shd w:fill="F7F9FC"/>
            <w:tcMar>
              <w:top w:w="100" w:type="dxa"/>
              <w:bottom w:w="100" w:type="dxa"/>
              <w:left w:w="150" w:type="dxa"/>
              <w:right w:w="150" w:type="dxa"/>
            </w:tcMar>
          </w:tcPr>
          <w:p>
            <w:r>
              <w:rPr>
                <w:rFonts w:ascii="Calibri" w:hAnsi="Calibri"/>
                <w:color w:val="1E1E1E"/>
                <w:sz w:val="19"/>
              </w:rPr>
              <w:t>volunteer_schedule</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Duty shifts, calendar schedules, and operational assignments.</w:t>
            </w:r>
          </w:p>
        </w:tc>
      </w:tr>
      <w:tr>
        <w:tc>
          <w:tcPr>
            <w:tcW w:type="dxa" w:w="2016"/>
            <w:shd w:fill="FFFFFF"/>
            <w:tcMar>
              <w:top w:w="100" w:type="dxa"/>
              <w:bottom w:w="100" w:type="dxa"/>
              <w:left w:w="150" w:type="dxa"/>
              <w:right w:w="150" w:type="dxa"/>
            </w:tcMar>
          </w:tcPr>
          <w:p>
            <w:r>
              <w:rPr>
                <w:rFonts w:ascii="Calibri" w:hAnsi="Calibri"/>
                <w:color w:val="1E1E1E"/>
                <w:sz w:val="19"/>
              </w:rPr>
              <w:t>Volunteers &amp; Operations</w:t>
            </w:r>
          </w:p>
        </w:tc>
        <w:tc>
          <w:tcPr>
            <w:tcW w:type="dxa" w:w="2016"/>
            <w:shd w:fill="FFFFFF"/>
            <w:tcMar>
              <w:top w:w="100" w:type="dxa"/>
              <w:bottom w:w="100" w:type="dxa"/>
              <w:left w:w="150" w:type="dxa"/>
              <w:right w:w="150" w:type="dxa"/>
            </w:tcMar>
          </w:tcPr>
          <w:p>
            <w:r>
              <w:rPr>
                <w:rFonts w:ascii="Calibri" w:hAnsi="Calibri"/>
                <w:color w:val="1E1E1E"/>
                <w:sz w:val="19"/>
              </w:rPr>
              <w:t>tasks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Operational task dispatch board with statuses and assigned volunteer IDs.</w:t>
            </w:r>
          </w:p>
        </w:tc>
      </w:tr>
      <w:tr>
        <w:tc>
          <w:tcPr>
            <w:tcW w:type="dxa" w:w="2016"/>
            <w:shd w:fill="F7F9FC"/>
            <w:tcMar>
              <w:top w:w="100" w:type="dxa"/>
              <w:bottom w:w="100" w:type="dxa"/>
              <w:left w:w="150" w:type="dxa"/>
              <w:right w:w="150" w:type="dxa"/>
            </w:tcMar>
          </w:tcPr>
          <w:p>
            <w:r>
              <w:rPr>
                <w:rFonts w:ascii="Calibri" w:hAnsi="Calibri"/>
                <w:color w:val="1E1E1E"/>
                <w:sz w:val="19"/>
              </w:rPr>
              <w:t>Volunteers &amp; Operations</w:t>
            </w:r>
          </w:p>
        </w:tc>
        <w:tc>
          <w:tcPr>
            <w:tcW w:type="dxa" w:w="2016"/>
            <w:shd w:fill="F7F9FC"/>
            <w:tcMar>
              <w:top w:w="100" w:type="dxa"/>
              <w:bottom w:w="100" w:type="dxa"/>
              <w:left w:w="150" w:type="dxa"/>
              <w:right w:w="150" w:type="dxa"/>
            </w:tcMar>
          </w:tcPr>
          <w:p>
            <w:r>
              <w:rPr>
                <w:rFonts w:ascii="Calibri" w:hAnsi="Calibri"/>
                <w:color w:val="1E1E1E"/>
                <w:sz w:val="19"/>
              </w:rPr>
              <w:t>task_types</w:t>
            </w:r>
          </w:p>
        </w:tc>
        <w:tc>
          <w:tcPr>
            <w:tcW w:type="dxa" w:w="1440"/>
            <w:shd w:fill="F7F9FC"/>
            <w:tcMar>
              <w:top w:w="100" w:type="dxa"/>
              <w:bottom w:w="100" w:type="dxa"/>
              <w:left w:w="150" w:type="dxa"/>
              <w:right w:w="150" w:type="dxa"/>
            </w:tcMar>
          </w:tcPr>
          <w:p>
            <w:r>
              <w:rPr>
                <w:rFonts w:ascii="Calibri" w:hAnsi="Calibri"/>
                <w:color w:val="1E1E1E"/>
                <w:sz w:val="19"/>
              </w:rPr>
              <w:t>id (INT)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Lookup categorization of operational relief duties.</w:t>
            </w:r>
          </w:p>
        </w:tc>
      </w:tr>
      <w:tr>
        <w:tc>
          <w:tcPr>
            <w:tcW w:type="dxa" w:w="2016"/>
            <w:shd w:fill="FFFFFF"/>
            <w:tcMar>
              <w:top w:w="100" w:type="dxa"/>
              <w:bottom w:w="100" w:type="dxa"/>
              <w:left w:w="150" w:type="dxa"/>
              <w:right w:w="150" w:type="dxa"/>
            </w:tcMar>
          </w:tcPr>
          <w:p>
            <w:r>
              <w:rPr>
                <w:rFonts w:ascii="Calibri" w:hAnsi="Calibri"/>
                <w:color w:val="1E1E1E"/>
                <w:sz w:val="19"/>
              </w:rPr>
              <w:t>Certificates &amp; Engagement</w:t>
            </w:r>
          </w:p>
        </w:tc>
        <w:tc>
          <w:tcPr>
            <w:tcW w:type="dxa" w:w="2016"/>
            <w:shd w:fill="FFFFFF"/>
            <w:tcMar>
              <w:top w:w="100" w:type="dxa"/>
              <w:bottom w:w="100" w:type="dxa"/>
              <w:left w:w="150" w:type="dxa"/>
              <w:right w:w="150" w:type="dxa"/>
            </w:tcMar>
          </w:tcPr>
          <w:p>
            <w:r>
              <w:rPr>
                <w:rFonts w:ascii="Calibri" w:hAnsi="Calibri"/>
                <w:color w:val="1E1E1E"/>
                <w:sz w:val="19"/>
              </w:rPr>
              <w:t>certificates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Verifiable digital certificates with unique hash codes and public QR validation.</w:t>
            </w:r>
          </w:p>
        </w:tc>
      </w:tr>
      <w:tr>
        <w:tc>
          <w:tcPr>
            <w:tcW w:type="dxa" w:w="2016"/>
            <w:shd w:fill="F7F9FC"/>
            <w:tcMar>
              <w:top w:w="100" w:type="dxa"/>
              <w:bottom w:w="100" w:type="dxa"/>
              <w:left w:w="150" w:type="dxa"/>
              <w:right w:w="150" w:type="dxa"/>
            </w:tcMar>
          </w:tcPr>
          <w:p>
            <w:r>
              <w:rPr>
                <w:rFonts w:ascii="Calibri" w:hAnsi="Calibri"/>
                <w:color w:val="1E1E1E"/>
                <w:sz w:val="19"/>
              </w:rPr>
              <w:t>Certificates &amp; Engagement</w:t>
            </w:r>
          </w:p>
        </w:tc>
        <w:tc>
          <w:tcPr>
            <w:tcW w:type="dxa" w:w="2016"/>
            <w:shd w:fill="F7F9FC"/>
            <w:tcMar>
              <w:top w:w="100" w:type="dxa"/>
              <w:bottom w:w="100" w:type="dxa"/>
              <w:left w:w="150" w:type="dxa"/>
              <w:right w:w="150" w:type="dxa"/>
            </w:tcMar>
          </w:tcPr>
          <w:p>
            <w:r>
              <w:rPr>
                <w:rFonts w:ascii="Calibri" w:hAnsi="Calibri"/>
                <w:color w:val="1E1E1E"/>
                <w:sz w:val="19"/>
              </w:rPr>
              <w:t>programs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Community outreach initiatives and disaster preparation programs.</w:t>
            </w:r>
          </w:p>
        </w:tc>
      </w:tr>
      <w:tr>
        <w:tc>
          <w:tcPr>
            <w:tcW w:type="dxa" w:w="2016"/>
            <w:shd w:fill="FFFFFF"/>
            <w:tcMar>
              <w:top w:w="100" w:type="dxa"/>
              <w:bottom w:w="100" w:type="dxa"/>
              <w:left w:w="150" w:type="dxa"/>
              <w:right w:w="150" w:type="dxa"/>
            </w:tcMar>
          </w:tcPr>
          <w:p>
            <w:r>
              <w:rPr>
                <w:rFonts w:ascii="Calibri" w:hAnsi="Calibri"/>
                <w:color w:val="1E1E1E"/>
                <w:sz w:val="19"/>
              </w:rPr>
              <w:t>Certificates &amp; Engagement</w:t>
            </w:r>
          </w:p>
        </w:tc>
        <w:tc>
          <w:tcPr>
            <w:tcW w:type="dxa" w:w="2016"/>
            <w:shd w:fill="FFFFFF"/>
            <w:tcMar>
              <w:top w:w="100" w:type="dxa"/>
              <w:bottom w:w="100" w:type="dxa"/>
              <w:left w:w="150" w:type="dxa"/>
              <w:right w:w="150" w:type="dxa"/>
            </w:tcMar>
          </w:tcPr>
          <w:p>
            <w:r>
              <w:rPr>
                <w:rFonts w:ascii="Calibri" w:hAnsi="Calibri"/>
                <w:color w:val="1E1E1E"/>
                <w:sz w:val="19"/>
              </w:rPr>
              <w:t>announcements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Public bulletins, relief operation updates, and disaster advisories.</w:t>
            </w:r>
          </w:p>
        </w:tc>
      </w:tr>
      <w:tr>
        <w:tc>
          <w:tcPr>
            <w:tcW w:type="dxa" w:w="2016"/>
            <w:shd w:fill="F7F9FC"/>
            <w:tcMar>
              <w:top w:w="100" w:type="dxa"/>
              <w:bottom w:w="100" w:type="dxa"/>
              <w:left w:w="150" w:type="dxa"/>
              <w:right w:w="150" w:type="dxa"/>
            </w:tcMar>
          </w:tcPr>
          <w:p>
            <w:r>
              <w:rPr>
                <w:rFonts w:ascii="Calibri" w:hAnsi="Calibri"/>
                <w:color w:val="1E1E1E"/>
                <w:sz w:val="19"/>
              </w:rPr>
              <w:t>Certificates &amp; Engagement</w:t>
            </w:r>
          </w:p>
        </w:tc>
        <w:tc>
          <w:tcPr>
            <w:tcW w:type="dxa" w:w="2016"/>
            <w:shd w:fill="F7F9FC"/>
            <w:tcMar>
              <w:top w:w="100" w:type="dxa"/>
              <w:bottom w:w="100" w:type="dxa"/>
              <w:left w:w="150" w:type="dxa"/>
              <w:right w:w="150" w:type="dxa"/>
            </w:tcMar>
          </w:tcPr>
          <w:p>
            <w:r>
              <w:rPr>
                <w:rFonts w:ascii="Calibri" w:hAnsi="Calibri"/>
                <w:color w:val="1E1E1E"/>
                <w:sz w:val="19"/>
              </w:rPr>
              <w:t>partners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Collaborating NGOs, corporate sponsors, and government LGU partners.</w:t>
            </w:r>
          </w:p>
        </w:tc>
      </w:tr>
      <w:tr>
        <w:tc>
          <w:tcPr>
            <w:tcW w:type="dxa" w:w="2016"/>
            <w:shd w:fill="FFFFFF"/>
            <w:tcMar>
              <w:top w:w="100" w:type="dxa"/>
              <w:bottom w:w="100" w:type="dxa"/>
              <w:left w:w="150" w:type="dxa"/>
              <w:right w:w="150" w:type="dxa"/>
            </w:tcMar>
          </w:tcPr>
          <w:p>
            <w:r>
              <w:rPr>
                <w:rFonts w:ascii="Calibri" w:hAnsi="Calibri"/>
                <w:color w:val="1E1E1E"/>
                <w:sz w:val="19"/>
              </w:rPr>
              <w:t>Certificates &amp; Engagement</w:t>
            </w:r>
          </w:p>
        </w:tc>
        <w:tc>
          <w:tcPr>
            <w:tcW w:type="dxa" w:w="2016"/>
            <w:shd w:fill="FFFFFF"/>
            <w:tcMar>
              <w:top w:w="100" w:type="dxa"/>
              <w:bottom w:w="100" w:type="dxa"/>
              <w:left w:w="150" w:type="dxa"/>
              <w:right w:w="150" w:type="dxa"/>
            </w:tcMar>
          </w:tcPr>
          <w:p>
            <w:r>
              <w:rPr>
                <w:rFonts w:ascii="Calibri" w:hAnsi="Calibri"/>
                <w:color w:val="1E1E1E"/>
                <w:sz w:val="19"/>
              </w:rPr>
              <w:t>success_stories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Published community impact stories and relief distribution transparency logs.</w:t>
            </w:r>
          </w:p>
        </w:tc>
      </w:tr>
      <w:tr>
        <w:tc>
          <w:tcPr>
            <w:tcW w:type="dxa" w:w="2016"/>
            <w:shd w:fill="F7F9FC"/>
            <w:tcMar>
              <w:top w:w="100" w:type="dxa"/>
              <w:bottom w:w="100" w:type="dxa"/>
              <w:left w:w="150" w:type="dxa"/>
              <w:right w:w="150" w:type="dxa"/>
            </w:tcMar>
          </w:tcPr>
          <w:p>
            <w:r>
              <w:rPr>
                <w:rFonts w:ascii="Calibri" w:hAnsi="Calibri"/>
                <w:color w:val="1E1E1E"/>
                <w:sz w:val="19"/>
              </w:rPr>
              <w:t>Certificates &amp; Engagement</w:t>
            </w:r>
          </w:p>
        </w:tc>
        <w:tc>
          <w:tcPr>
            <w:tcW w:type="dxa" w:w="2016"/>
            <w:shd w:fill="F7F9FC"/>
            <w:tcMar>
              <w:top w:w="100" w:type="dxa"/>
              <w:bottom w:w="100" w:type="dxa"/>
              <w:left w:w="150" w:type="dxa"/>
              <w:right w:w="150" w:type="dxa"/>
            </w:tcMar>
          </w:tcPr>
          <w:p>
            <w:r>
              <w:rPr>
                <w:rFonts w:ascii="Calibri" w:hAnsi="Calibri"/>
                <w:color w:val="1E1E1E"/>
                <w:sz w:val="19"/>
              </w:rPr>
              <w:t>notifications</w:t>
            </w:r>
          </w:p>
        </w:tc>
        <w:tc>
          <w:tcPr>
            <w:tcW w:type="dxa" w:w="1440"/>
            <w:shd w:fill="F7F9FC"/>
            <w:tcMar>
              <w:top w:w="100" w:type="dxa"/>
              <w:bottom w:w="100" w:type="dxa"/>
              <w:left w:w="150" w:type="dxa"/>
              <w:right w:w="150" w:type="dxa"/>
            </w:tcMar>
          </w:tcPr>
          <w:p>
            <w:r>
              <w:rPr>
                <w:rFonts w:ascii="Calibri" w:hAnsi="Calibri"/>
                <w:color w:val="1E1E1E"/>
                <w:sz w:val="19"/>
              </w:rPr>
              <w:t>id (BIGINT)</w:t>
            </w:r>
          </w:p>
        </w:tc>
        <w:tc>
          <w:tcPr>
            <w:tcW w:type="dxa" w:w="1152"/>
            <w:shd w:fill="F7F9FC"/>
            <w:tcMar>
              <w:top w:w="100" w:type="dxa"/>
              <w:bottom w:w="100" w:type="dxa"/>
              <w:left w:w="150" w:type="dxa"/>
              <w:right w:w="150" w:type="dxa"/>
            </w:tcMar>
          </w:tcPr>
          <w:p>
            <w:r>
              <w:rPr>
                <w:rFonts w:ascii="Calibri" w:hAnsi="Calibri"/>
                <w:color w:val="1E1E1E"/>
                <w:sz w:val="19"/>
              </w:rPr>
              <w:t>InnoDB</w:t>
            </w:r>
          </w:p>
        </w:tc>
        <w:tc>
          <w:tcPr>
            <w:tcW w:type="dxa" w:w="3456"/>
            <w:shd w:fill="F7F9FC"/>
            <w:tcMar>
              <w:top w:w="100" w:type="dxa"/>
              <w:bottom w:w="100" w:type="dxa"/>
              <w:left w:w="150" w:type="dxa"/>
              <w:right w:w="150" w:type="dxa"/>
            </w:tcMar>
          </w:tcPr>
          <w:p>
            <w:r>
              <w:rPr>
                <w:rFonts w:ascii="Calibri" w:hAnsi="Calibri"/>
                <w:color w:val="1E1E1E"/>
                <w:sz w:val="19"/>
              </w:rPr>
              <w:t>Transactional system alerts delivered to user dashboards.</w:t>
            </w:r>
          </w:p>
        </w:tc>
      </w:tr>
      <w:tr>
        <w:tc>
          <w:tcPr>
            <w:tcW w:type="dxa" w:w="2016"/>
            <w:shd w:fill="FFFFFF"/>
            <w:tcMar>
              <w:top w:w="100" w:type="dxa"/>
              <w:bottom w:w="100" w:type="dxa"/>
              <w:left w:w="150" w:type="dxa"/>
              <w:right w:w="150" w:type="dxa"/>
            </w:tcMar>
          </w:tcPr>
          <w:p>
            <w:r>
              <w:rPr>
                <w:rFonts w:ascii="Calibri" w:hAnsi="Calibri"/>
                <w:color w:val="1E1E1E"/>
                <w:sz w:val="19"/>
              </w:rPr>
              <w:t>Certificates &amp; Engagement</w:t>
            </w:r>
          </w:p>
        </w:tc>
        <w:tc>
          <w:tcPr>
            <w:tcW w:type="dxa" w:w="2016"/>
            <w:shd w:fill="FFFFFF"/>
            <w:tcMar>
              <w:top w:w="100" w:type="dxa"/>
              <w:bottom w:w="100" w:type="dxa"/>
              <w:left w:w="150" w:type="dxa"/>
              <w:right w:w="150" w:type="dxa"/>
            </w:tcMar>
          </w:tcPr>
          <w:p>
            <w:r>
              <w:rPr>
                <w:rFonts w:ascii="Calibri" w:hAnsi="Calibri"/>
                <w:color w:val="1E1E1E"/>
                <w:sz w:val="19"/>
              </w:rPr>
              <w:t>admin_section_views</w:t>
            </w:r>
          </w:p>
        </w:tc>
        <w:tc>
          <w:tcPr>
            <w:tcW w:type="dxa" w:w="1440"/>
            <w:shd w:fill="FFFFFF"/>
            <w:tcMar>
              <w:top w:w="100" w:type="dxa"/>
              <w:bottom w:w="100" w:type="dxa"/>
              <w:left w:w="150" w:type="dxa"/>
              <w:right w:w="150" w:type="dxa"/>
            </w:tcMar>
          </w:tcPr>
          <w:p>
            <w:r>
              <w:rPr>
                <w:rFonts w:ascii="Calibri" w:hAnsi="Calibri"/>
                <w:color w:val="1E1E1E"/>
                <w:sz w:val="19"/>
              </w:rPr>
              <w:t>id (BIGINT)</w:t>
            </w:r>
          </w:p>
        </w:tc>
        <w:tc>
          <w:tcPr>
            <w:tcW w:type="dxa" w:w="1152"/>
            <w:shd w:fill="FFFFFF"/>
            <w:tcMar>
              <w:top w:w="100" w:type="dxa"/>
              <w:bottom w:w="100" w:type="dxa"/>
              <w:left w:w="150" w:type="dxa"/>
              <w:right w:w="150" w:type="dxa"/>
            </w:tcMar>
          </w:tcPr>
          <w:p>
            <w:r>
              <w:rPr>
                <w:rFonts w:ascii="Calibri" w:hAnsi="Calibri"/>
                <w:color w:val="1E1E1E"/>
                <w:sz w:val="19"/>
              </w:rPr>
              <w:t>InnoDB</w:t>
            </w:r>
          </w:p>
        </w:tc>
        <w:tc>
          <w:tcPr>
            <w:tcW w:type="dxa" w:w="3456"/>
            <w:shd w:fill="FFFFFF"/>
            <w:tcMar>
              <w:top w:w="100" w:type="dxa"/>
              <w:bottom w:w="100" w:type="dxa"/>
              <w:left w:w="150" w:type="dxa"/>
              <w:right w:w="150" w:type="dxa"/>
            </w:tcMar>
          </w:tcPr>
          <w:p>
            <w:r>
              <w:rPr>
                <w:rFonts w:ascii="Calibri" w:hAnsi="Calibri"/>
                <w:color w:val="1E1E1E"/>
                <w:sz w:val="19"/>
              </w:rPr>
              <w:t>Tracks administrative read/audit states across sub-sections.</w:t>
            </w:r>
          </w:p>
        </w:tc>
      </w:tr>
    </w:tbl>
    <w:p/>
    <w:p>
      <w:pPr>
        <w:pStyle w:val="Heading1"/>
        <w:spacing w:before="320" w:after="120"/>
      </w:pPr>
      <w:r>
        <w:rPr>
          <w:rFonts w:ascii="Calibri" w:hAnsi="Calibri"/>
          <w:b/>
          <w:color w:val="1F497D"/>
          <w:sz w:val="32"/>
        </w:rPr>
        <w:t>3.6. Environments</w:t>
      </w:r>
    </w:p>
    <w:p>
      <w:pPr>
        <w:spacing w:after="80" w:line="276" w:lineRule="auto"/>
      </w:pPr>
      <w:r>
        <w:rPr>
          <w:rFonts w:ascii="Calibri" w:hAnsi="Calibri"/>
          <w:i w:val="0"/>
          <w:color w:val="282828"/>
          <w:sz w:val="21"/>
        </w:rPr>
        <w:t>To ensure system availability, data integrity, and strict isolation between development, verification, and live disaster relief operations, the system is segregated into three distinct execution tiers: Production, User Acceptance Testing (UAT), and Test (Development).</w:t>
      </w:r>
    </w:p>
    <w:p>
      <w:pPr>
        <w:pStyle w:val="Heading2"/>
        <w:spacing w:before="240" w:after="80"/>
      </w:pPr>
      <w:r>
        <w:rPr>
          <w:rFonts w:ascii="Calibri" w:hAnsi="Calibri"/>
          <w:b/>
          <w:color w:val="2E75B6"/>
          <w:sz w:val="26"/>
        </w:rPr>
        <w:t>For the System (Frontend Web Application):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312"/>
            <w:shd w:fill="1F497D"/>
            <w:tcMar>
              <w:top w:w="120" w:type="dxa"/>
              <w:bottom w:w="120" w:type="dxa"/>
              <w:left w:w="150" w:type="dxa"/>
              <w:right w:w="150" w:type="dxa"/>
            </w:tcMar>
          </w:tcPr>
          <w:p>
            <w:pPr>
              <w:jc w:val="center"/>
            </w:pPr>
            <w:r>
              <w:rPr>
                <w:rFonts w:ascii="Calibri" w:hAnsi="Calibri"/>
                <w:b/>
                <w:color w:val="FFFFFF"/>
                <w:sz w:val="20"/>
              </w:rPr>
              <w:t>Production</w:t>
            </w:r>
          </w:p>
        </w:tc>
        <w:tc>
          <w:tcPr>
            <w:tcW w:type="dxa" w:w="3456"/>
            <w:shd w:fill="1F497D"/>
            <w:tcMar>
              <w:top w:w="120" w:type="dxa"/>
              <w:bottom w:w="120" w:type="dxa"/>
              <w:left w:w="150" w:type="dxa"/>
              <w:right w:w="150" w:type="dxa"/>
            </w:tcMar>
          </w:tcPr>
          <w:p>
            <w:pPr>
              <w:jc w:val="center"/>
            </w:pPr>
            <w:r>
              <w:rPr>
                <w:rFonts w:ascii="Calibri" w:hAnsi="Calibri"/>
                <w:b/>
                <w:color w:val="FFFFFF"/>
                <w:sz w:val="20"/>
              </w:rPr>
              <w:t>UAT</w:t>
            </w:r>
          </w:p>
        </w:tc>
        <w:tc>
          <w:tcPr>
            <w:tcW w:type="dxa" w:w="3312"/>
            <w:shd w:fill="1F497D"/>
            <w:tcMar>
              <w:top w:w="120" w:type="dxa"/>
              <w:bottom w:w="120" w:type="dxa"/>
              <w:left w:w="150" w:type="dxa"/>
              <w:right w:w="150" w:type="dxa"/>
            </w:tcMar>
          </w:tcPr>
          <w:p>
            <w:pPr>
              <w:jc w:val="center"/>
            </w:pPr>
            <w:r>
              <w:rPr>
                <w:rFonts w:ascii="Calibri" w:hAnsi="Calibri"/>
                <w:b/>
                <w:color w:val="FFFFFF"/>
                <w:sz w:val="20"/>
              </w:rPr>
              <w:t>Test</w:t>
            </w:r>
          </w:p>
        </w:tc>
      </w:tr>
      <w:tr>
        <w:tc>
          <w:tcPr>
            <w:tcW w:type="dxa" w:w="3312"/>
            <w:shd w:fill="FFFFFF"/>
            <w:tcMar>
              <w:top w:w="100" w:type="dxa"/>
              <w:bottom w:w="100" w:type="dxa"/>
              <w:left w:w="150" w:type="dxa"/>
              <w:right w:w="150" w:type="dxa"/>
            </w:tcMar>
          </w:tcPr>
          <w:p>
            <w:r>
              <w:rPr>
                <w:rFonts w:ascii="Calibri" w:hAnsi="Calibri"/>
                <w:color w:val="1E1E1E"/>
                <w:sz w:val="19"/>
              </w:rPr>
              <w:t>https://donation-system-frontend.vercel.app</w:t>
              <w:br/>
              <w:t>(Primary Production SPA on Vercel CDN)</w:t>
            </w:r>
          </w:p>
        </w:tc>
        <w:tc>
          <w:tcPr>
            <w:tcW w:type="dxa" w:w="3456"/>
            <w:shd w:fill="FFFFFF"/>
            <w:tcMar>
              <w:top w:w="100" w:type="dxa"/>
              <w:bottom w:w="100" w:type="dxa"/>
              <w:left w:w="150" w:type="dxa"/>
              <w:right w:w="150" w:type="dxa"/>
            </w:tcMar>
          </w:tcPr>
          <w:p>
            <w:r>
              <w:rPr>
                <w:rFonts w:ascii="Calibri" w:hAnsi="Calibri"/>
                <w:color w:val="1E1E1E"/>
                <w:sz w:val="19"/>
              </w:rPr>
              <w:t>https://donation-system-uat.vercel.app</w:t>
              <w:br/>
              <w:t>(Staging / UAT Environment for Rise Above coordinators)</w:t>
            </w:r>
          </w:p>
        </w:tc>
        <w:tc>
          <w:tcPr>
            <w:tcW w:type="dxa" w:w="3312"/>
            <w:shd w:fill="FFFFFF"/>
            <w:tcMar>
              <w:top w:w="100" w:type="dxa"/>
              <w:bottom w:w="100" w:type="dxa"/>
              <w:left w:w="150" w:type="dxa"/>
              <w:right w:w="150" w:type="dxa"/>
            </w:tcMar>
          </w:tcPr>
          <w:p>
            <w:r>
              <w:rPr>
                <w:rFonts w:ascii="Calibri" w:hAnsi="Calibri"/>
                <w:color w:val="1E1E1E"/>
                <w:sz w:val="19"/>
              </w:rPr>
              <w:t>http://localhost:5173</w:t>
              <w:br/>
              <w:t>(Local Vite / React Development Server)</w:t>
            </w:r>
          </w:p>
        </w:tc>
      </w:tr>
    </w:tbl>
    <w:p/>
    <w:p>
      <w:pPr>
        <w:pStyle w:val="Heading2"/>
        <w:spacing w:before="240" w:after="80"/>
      </w:pPr>
      <w:r>
        <w:rPr>
          <w:rFonts w:ascii="Calibri" w:hAnsi="Calibri"/>
          <w:b/>
          <w:color w:val="2E75B6"/>
          <w:sz w:val="26"/>
        </w:rPr>
        <w:t>For the API (Backend RESTful Web Services):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312"/>
            <w:shd w:fill="1F497D"/>
            <w:tcMar>
              <w:top w:w="120" w:type="dxa"/>
              <w:bottom w:w="120" w:type="dxa"/>
              <w:left w:w="150" w:type="dxa"/>
              <w:right w:w="150" w:type="dxa"/>
            </w:tcMar>
          </w:tcPr>
          <w:p>
            <w:pPr>
              <w:jc w:val="center"/>
            </w:pPr>
            <w:r>
              <w:rPr>
                <w:rFonts w:ascii="Calibri" w:hAnsi="Calibri"/>
                <w:b/>
                <w:color w:val="FFFFFF"/>
                <w:sz w:val="20"/>
              </w:rPr>
              <w:t>Production</w:t>
            </w:r>
          </w:p>
        </w:tc>
        <w:tc>
          <w:tcPr>
            <w:tcW w:type="dxa" w:w="3456"/>
            <w:shd w:fill="1F497D"/>
            <w:tcMar>
              <w:top w:w="120" w:type="dxa"/>
              <w:bottom w:w="120" w:type="dxa"/>
              <w:left w:w="150" w:type="dxa"/>
              <w:right w:w="150" w:type="dxa"/>
            </w:tcMar>
          </w:tcPr>
          <w:p>
            <w:pPr>
              <w:jc w:val="center"/>
            </w:pPr>
            <w:r>
              <w:rPr>
                <w:rFonts w:ascii="Calibri" w:hAnsi="Calibri"/>
                <w:b/>
                <w:color w:val="FFFFFF"/>
                <w:sz w:val="20"/>
              </w:rPr>
              <w:t>UAT</w:t>
            </w:r>
          </w:p>
        </w:tc>
        <w:tc>
          <w:tcPr>
            <w:tcW w:type="dxa" w:w="3312"/>
            <w:shd w:fill="1F497D"/>
            <w:tcMar>
              <w:top w:w="120" w:type="dxa"/>
              <w:bottom w:w="120" w:type="dxa"/>
              <w:left w:w="150" w:type="dxa"/>
              <w:right w:w="150" w:type="dxa"/>
            </w:tcMar>
          </w:tcPr>
          <w:p>
            <w:pPr>
              <w:jc w:val="center"/>
            </w:pPr>
            <w:r>
              <w:rPr>
                <w:rFonts w:ascii="Calibri" w:hAnsi="Calibri"/>
                <w:b/>
                <w:color w:val="FFFFFF"/>
                <w:sz w:val="20"/>
              </w:rPr>
              <w:t>Test</w:t>
            </w:r>
          </w:p>
        </w:tc>
      </w:tr>
      <w:tr>
        <w:tc>
          <w:tcPr>
            <w:tcW w:type="dxa" w:w="3312"/>
            <w:shd w:fill="FFFFFF"/>
            <w:tcMar>
              <w:top w:w="100" w:type="dxa"/>
              <w:bottom w:w="100" w:type="dxa"/>
              <w:left w:w="150" w:type="dxa"/>
              <w:right w:w="150" w:type="dxa"/>
            </w:tcMar>
          </w:tcPr>
          <w:p>
            <w:r>
              <w:rPr>
                <w:rFonts w:ascii="Calibri" w:hAnsi="Calibri"/>
                <w:color w:val="1E1E1E"/>
                <w:sz w:val="19"/>
              </w:rPr>
              <w:t>https://donation-system-api.onrender.com/api</w:t>
              <w:br/>
              <w:t>(Dockerized PHP 8.2 on Render Cloud, SG Region)</w:t>
            </w:r>
          </w:p>
        </w:tc>
        <w:tc>
          <w:tcPr>
            <w:tcW w:type="dxa" w:w="3456"/>
            <w:shd w:fill="FFFFFF"/>
            <w:tcMar>
              <w:top w:w="100" w:type="dxa"/>
              <w:bottom w:w="100" w:type="dxa"/>
              <w:left w:w="150" w:type="dxa"/>
              <w:right w:w="150" w:type="dxa"/>
            </w:tcMar>
          </w:tcPr>
          <w:p>
            <w:r>
              <w:rPr>
                <w:rFonts w:ascii="Calibri" w:hAnsi="Calibri"/>
                <w:color w:val="1E1E1E"/>
                <w:sz w:val="19"/>
              </w:rPr>
              <w:t>https://donation-system-api-uat.onrender.com/api</w:t>
              <w:br/>
              <w:t>(UAT Staging API Instance on Render)</w:t>
            </w:r>
          </w:p>
        </w:tc>
        <w:tc>
          <w:tcPr>
            <w:tcW w:type="dxa" w:w="3312"/>
            <w:shd w:fill="FFFFFF"/>
            <w:tcMar>
              <w:top w:w="100" w:type="dxa"/>
              <w:bottom w:w="100" w:type="dxa"/>
              <w:left w:w="150" w:type="dxa"/>
              <w:right w:w="150" w:type="dxa"/>
            </w:tcMar>
          </w:tcPr>
          <w:p>
            <w:r>
              <w:rPr>
                <w:rFonts w:ascii="Calibri" w:hAnsi="Calibri"/>
                <w:color w:val="1E1E1E"/>
                <w:sz w:val="19"/>
              </w:rPr>
              <w:t>http://localhost:8000/api</w:t>
              <w:br/>
              <w:t>(Local PHP Built-in Server CLI)</w:t>
            </w:r>
          </w:p>
        </w:tc>
      </w:tr>
    </w:tbl>
    <w:p/>
    <w:p>
      <w:pPr>
        <w:pStyle w:val="Heading2"/>
        <w:spacing w:before="240" w:after="80"/>
      </w:pPr>
      <w:r>
        <w:rPr>
          <w:rFonts w:ascii="Calibri" w:hAnsi="Calibri"/>
          <w:b/>
          <w:color w:val="2E75B6"/>
          <w:sz w:val="26"/>
        </w:rPr>
        <w:t>For the Database (MySQL 8.0 / TiDB Cloud Serverless):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312"/>
            <w:shd w:fill="1F497D"/>
            <w:tcMar>
              <w:top w:w="120" w:type="dxa"/>
              <w:bottom w:w="120" w:type="dxa"/>
              <w:left w:w="150" w:type="dxa"/>
              <w:right w:w="150" w:type="dxa"/>
            </w:tcMar>
          </w:tcPr>
          <w:p>
            <w:pPr>
              <w:jc w:val="center"/>
            </w:pPr>
            <w:r>
              <w:rPr>
                <w:rFonts w:ascii="Calibri" w:hAnsi="Calibri"/>
                <w:b/>
                <w:color w:val="FFFFFF"/>
                <w:sz w:val="20"/>
              </w:rPr>
              <w:t>Production</w:t>
            </w:r>
          </w:p>
        </w:tc>
        <w:tc>
          <w:tcPr>
            <w:tcW w:type="dxa" w:w="3456"/>
            <w:shd w:fill="1F497D"/>
            <w:tcMar>
              <w:top w:w="120" w:type="dxa"/>
              <w:bottom w:w="120" w:type="dxa"/>
              <w:left w:w="150" w:type="dxa"/>
              <w:right w:w="150" w:type="dxa"/>
            </w:tcMar>
          </w:tcPr>
          <w:p>
            <w:pPr>
              <w:jc w:val="center"/>
            </w:pPr>
            <w:r>
              <w:rPr>
                <w:rFonts w:ascii="Calibri" w:hAnsi="Calibri"/>
                <w:b/>
                <w:color w:val="FFFFFF"/>
                <w:sz w:val="20"/>
              </w:rPr>
              <w:t>UAT</w:t>
            </w:r>
          </w:p>
        </w:tc>
        <w:tc>
          <w:tcPr>
            <w:tcW w:type="dxa" w:w="3312"/>
            <w:shd w:fill="1F497D"/>
            <w:tcMar>
              <w:top w:w="120" w:type="dxa"/>
              <w:bottom w:w="120" w:type="dxa"/>
              <w:left w:w="150" w:type="dxa"/>
              <w:right w:w="150" w:type="dxa"/>
            </w:tcMar>
          </w:tcPr>
          <w:p>
            <w:pPr>
              <w:jc w:val="center"/>
            </w:pPr>
            <w:r>
              <w:rPr>
                <w:rFonts w:ascii="Calibri" w:hAnsi="Calibri"/>
                <w:b/>
                <w:color w:val="FFFFFF"/>
                <w:sz w:val="20"/>
              </w:rPr>
              <w:t>Test</w:t>
            </w:r>
          </w:p>
        </w:tc>
      </w:tr>
      <w:tr>
        <w:tc>
          <w:tcPr>
            <w:tcW w:type="dxa" w:w="3312"/>
            <w:shd w:fill="FFFFFF"/>
            <w:tcMar>
              <w:top w:w="100" w:type="dxa"/>
              <w:bottom w:w="100" w:type="dxa"/>
              <w:left w:w="150" w:type="dxa"/>
              <w:right w:w="150" w:type="dxa"/>
            </w:tcMar>
          </w:tcPr>
          <w:p>
            <w:r>
              <w:rPr>
                <w:rFonts w:ascii="Calibri" w:hAnsi="Calibri"/>
                <w:color w:val="1E1E1E"/>
                <w:sz w:val="19"/>
              </w:rPr>
              <w:t>gateway01.ap-southeast-1.prod.aws.tidbcloud.com:4000</w:t>
              <w:br/>
              <w:t>Database: donation_system</w:t>
              <w:br/>
              <w:t>(TLS/SSL Encrypted Serverless Cluster)</w:t>
            </w:r>
          </w:p>
        </w:tc>
        <w:tc>
          <w:tcPr>
            <w:tcW w:type="dxa" w:w="3456"/>
            <w:shd w:fill="FFFFFF"/>
            <w:tcMar>
              <w:top w:w="100" w:type="dxa"/>
              <w:bottom w:w="100" w:type="dxa"/>
              <w:left w:w="150" w:type="dxa"/>
              <w:right w:w="150" w:type="dxa"/>
            </w:tcMar>
          </w:tcPr>
          <w:p>
            <w:r>
              <w:rPr>
                <w:rFonts w:ascii="Calibri" w:hAnsi="Calibri"/>
                <w:color w:val="1E1E1E"/>
                <w:sz w:val="19"/>
              </w:rPr>
              <w:t>gateway01.ap-southeast-1.prod.aws.tidbcloud.com:4000</w:t>
              <w:br/>
              <w:t>Database: donation_system_uat</w:t>
              <w:br/>
              <w:t>(Isolated UAT Staging Branch)</w:t>
            </w:r>
          </w:p>
        </w:tc>
        <w:tc>
          <w:tcPr>
            <w:tcW w:type="dxa" w:w="3312"/>
            <w:shd w:fill="FFFFFF"/>
            <w:tcMar>
              <w:top w:w="100" w:type="dxa"/>
              <w:bottom w:w="100" w:type="dxa"/>
              <w:left w:w="150" w:type="dxa"/>
              <w:right w:w="150" w:type="dxa"/>
            </w:tcMar>
          </w:tcPr>
          <w:p>
            <w:r>
              <w:rPr>
                <w:rFonts w:ascii="Calibri" w:hAnsi="Calibri"/>
                <w:color w:val="1E1E1E"/>
                <w:sz w:val="19"/>
              </w:rPr>
              <w:t>127.0.0.1:3306 / local_test.sqlite</w:t>
              <w:br/>
              <w:t>Database: donation_system_test</w:t>
              <w:br/>
              <w:t>(Local SQLite / MySQL Dev Instance)</w:t>
            </w:r>
          </w:p>
        </w:tc>
      </w:tr>
    </w:tbl>
    <w:p/>
    <w:p>
      <w:pPr>
        <w:pStyle w:val="Heading1"/>
        <w:spacing w:before="320" w:after="120"/>
      </w:pPr>
      <w:r>
        <w:rPr>
          <w:rFonts w:ascii="Calibri" w:hAnsi="Calibri"/>
          <w:b/>
          <w:color w:val="1F497D"/>
          <w:sz w:val="32"/>
        </w:rPr>
        <w:t>3.7. Service Accounts</w:t>
      </w:r>
    </w:p>
    <w:p>
      <w:pPr>
        <w:spacing w:after="80" w:line="276" w:lineRule="auto"/>
      </w:pPr>
      <w:r>
        <w:rPr>
          <w:rFonts w:ascii="Calibri" w:hAnsi="Calibri"/>
          <w:i w:val="0"/>
          <w:color w:val="282828"/>
          <w:sz w:val="21"/>
        </w:rPr>
        <w:t>Service accounts provide programmatic and non-interactive authentication for automated platform operations, including transactional email dispatches (Brevo API), AI skill recommendation pipelines (Google Gemini AI), automated database migrations, and system administration roles.</w:t>
      </w:r>
    </w:p>
    <w:p>
      <w:pPr>
        <w:pStyle w:val="Heading2"/>
        <w:spacing w:before="240" w:after="80"/>
      </w:pPr>
      <w:r>
        <w:rPr>
          <w:rFonts w:ascii="Calibri" w:hAnsi="Calibri"/>
          <w:b/>
          <w:color w:val="2E75B6"/>
          <w:sz w:val="26"/>
        </w:rPr>
        <w:t>For the System: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312"/>
            <w:shd w:fill="1F497D"/>
            <w:tcMar>
              <w:top w:w="120" w:type="dxa"/>
              <w:bottom w:w="120" w:type="dxa"/>
              <w:left w:w="150" w:type="dxa"/>
              <w:right w:w="150" w:type="dxa"/>
            </w:tcMar>
          </w:tcPr>
          <w:p>
            <w:pPr>
              <w:jc w:val="center"/>
            </w:pPr>
            <w:r>
              <w:rPr>
                <w:rFonts w:ascii="Calibri" w:hAnsi="Calibri"/>
                <w:b/>
                <w:color w:val="FFFFFF"/>
                <w:sz w:val="20"/>
              </w:rPr>
              <w:t>Production</w:t>
            </w:r>
          </w:p>
        </w:tc>
        <w:tc>
          <w:tcPr>
            <w:tcW w:type="dxa" w:w="3456"/>
            <w:shd w:fill="1F497D"/>
            <w:tcMar>
              <w:top w:w="120" w:type="dxa"/>
              <w:bottom w:w="120" w:type="dxa"/>
              <w:left w:w="150" w:type="dxa"/>
              <w:right w:w="150" w:type="dxa"/>
            </w:tcMar>
          </w:tcPr>
          <w:p>
            <w:pPr>
              <w:jc w:val="center"/>
            </w:pPr>
            <w:r>
              <w:rPr>
                <w:rFonts w:ascii="Calibri" w:hAnsi="Calibri"/>
                <w:b/>
                <w:color w:val="FFFFFF"/>
                <w:sz w:val="20"/>
              </w:rPr>
              <w:t>UAT</w:t>
            </w:r>
          </w:p>
        </w:tc>
        <w:tc>
          <w:tcPr>
            <w:tcW w:type="dxa" w:w="3312"/>
            <w:shd w:fill="1F497D"/>
            <w:tcMar>
              <w:top w:w="120" w:type="dxa"/>
              <w:bottom w:w="120" w:type="dxa"/>
              <w:left w:w="150" w:type="dxa"/>
              <w:right w:w="150" w:type="dxa"/>
            </w:tcMar>
          </w:tcPr>
          <w:p>
            <w:pPr>
              <w:jc w:val="center"/>
            </w:pPr>
            <w:r>
              <w:rPr>
                <w:rFonts w:ascii="Calibri" w:hAnsi="Calibri"/>
                <w:b/>
                <w:color w:val="FFFFFF"/>
                <w:sz w:val="20"/>
              </w:rPr>
              <w:t>Test</w:t>
            </w:r>
          </w:p>
        </w:tc>
      </w:tr>
      <w:tr>
        <w:tc>
          <w:tcPr>
            <w:tcW w:type="dxa" w:w="3312"/>
            <w:shd w:fill="FFFFFF"/>
            <w:tcMar>
              <w:top w:w="100" w:type="dxa"/>
              <w:bottom w:w="100" w:type="dxa"/>
              <w:left w:w="150" w:type="dxa"/>
              <w:right w:w="150" w:type="dxa"/>
            </w:tcMar>
          </w:tcPr>
          <w:p>
            <w:r>
              <w:rPr>
                <w:rFonts w:ascii="Calibri" w:hAnsi="Calibri"/>
                <w:color w:val="1E1E1E"/>
                <w:sz w:val="19"/>
              </w:rPr>
              <w:t>Primary Super Admin Account:</w:t>
              <w:br/>
              <w:t>admin@riseabovefoundation.org</w:t>
              <w:br/>
              <w:br/>
              <w:t>Automated System Notification Sender:</w:t>
              <w:br/>
              <w:t>noreply@riseabovefoundation.org</w:t>
              <w:br/>
              <w:br/>
              <w:t>Cloud Infrastructure / CI/CD:</w:t>
              <w:br/>
              <w:t>devops@riseabovefoundation.org</w:t>
            </w:r>
          </w:p>
        </w:tc>
        <w:tc>
          <w:tcPr>
            <w:tcW w:type="dxa" w:w="3456"/>
            <w:shd w:fill="FFFFFF"/>
            <w:tcMar>
              <w:top w:w="100" w:type="dxa"/>
              <w:bottom w:w="100" w:type="dxa"/>
              <w:left w:w="150" w:type="dxa"/>
              <w:right w:w="150" w:type="dxa"/>
            </w:tcMar>
          </w:tcPr>
          <w:p>
            <w:r>
              <w:rPr>
                <w:rFonts w:ascii="Calibri" w:hAnsi="Calibri"/>
                <w:color w:val="1E1E1E"/>
                <w:sz w:val="19"/>
              </w:rPr>
              <w:t>UAT Lead Admin Account:</w:t>
              <w:br/>
              <w:t>uat-admin@riseabovefoundation.org</w:t>
              <w:br/>
              <w:br/>
              <w:t>UAT Notification Mailer:</w:t>
              <w:br/>
              <w:t>uat-mailer@riseabovefoundation.org</w:t>
              <w:br/>
              <w:br/>
              <w:t>UAT Testing Lead Coordinator:</w:t>
              <w:br/>
              <w:t>uat-tester@riseabovefoundation.org</w:t>
            </w:r>
          </w:p>
        </w:tc>
        <w:tc>
          <w:tcPr>
            <w:tcW w:type="dxa" w:w="3312"/>
            <w:shd w:fill="FFFFFF"/>
            <w:tcMar>
              <w:top w:w="100" w:type="dxa"/>
              <w:bottom w:w="100" w:type="dxa"/>
              <w:left w:w="150" w:type="dxa"/>
              <w:right w:w="150" w:type="dxa"/>
            </w:tcMar>
          </w:tcPr>
          <w:p>
            <w:r>
              <w:rPr>
                <w:rFonts w:ascii="Calibri" w:hAnsi="Calibri"/>
                <w:color w:val="1E1E1E"/>
                <w:sz w:val="19"/>
              </w:rPr>
              <w:t>Local Test Admin Account:</w:t>
              <w:br/>
              <w:t>test-admin@localhost.dev</w:t>
              <w:br/>
              <w:br/>
              <w:t>Local Mock Notification Service:</w:t>
              <w:br/>
              <w:t>mailhog@localhost.dev</w:t>
              <w:br/>
              <w:br/>
              <w:t>Capstone Lead Developer Contact:</w:t>
              <w:br/>
              <w:t>jamesisidro0808@gmail.com</w:t>
            </w:r>
          </w:p>
        </w:tc>
      </w:tr>
    </w:tbl>
    <w:p/>
    <w:p>
      <w:pPr>
        <w:pStyle w:val="Heading1"/>
        <w:spacing w:before="320" w:after="120"/>
      </w:pPr>
      <w:r>
        <w:rPr>
          <w:rFonts w:ascii="Calibri" w:hAnsi="Calibri"/>
          <w:b/>
          <w:color w:val="1F497D"/>
          <w:sz w:val="32"/>
        </w:rPr>
        <w:t>4.2. Governance Standards</w:t>
      </w:r>
    </w:p>
    <w:p>
      <w:pPr>
        <w:pStyle w:val="Heading2"/>
        <w:spacing w:before="240" w:after="80"/>
      </w:pPr>
      <w:r>
        <w:rPr>
          <w:rFonts w:ascii="Calibri" w:hAnsi="Calibri"/>
          <w:b/>
          <w:color w:val="2E75B6"/>
          <w:sz w:val="26"/>
        </w:rPr>
        <w:t>4.2.2. Code Naming Convention</w:t>
      </w:r>
    </w:p>
    <w:p>
      <w:pPr>
        <w:spacing w:after="80" w:line="276" w:lineRule="auto"/>
      </w:pPr>
      <w:r>
        <w:rPr>
          <w:rFonts w:ascii="Calibri" w:hAnsi="Calibri"/>
          <w:b/>
          <w:color w:val="1E1E1E"/>
          <w:sz w:val="21"/>
        </w:rPr>
        <w:t xml:space="preserve">Purpose: </w:t>
      </w:r>
      <w:r>
        <w:rPr>
          <w:rFonts w:ascii="Calibri" w:hAnsi="Calibri"/>
          <w:i w:val="0"/>
          <w:color w:val="282828"/>
          <w:sz w:val="21"/>
        </w:rPr>
        <w:t>Purpose: The establishment of uniform code naming conventions ensures maintainability, seamless readability, and cross-stack consistency across a heterogeneous architecture combining a modern React 18/19 JavaScript Single Page Application (SPA), a PHP 8.2 RESTful backend API, and a relational MySQL/TiDB database.</w:t>
      </w:r>
    </w:p>
    <w:p>
      <w:pPr>
        <w:spacing w:after="80" w:line="276" w:lineRule="auto"/>
      </w:pPr>
      <w:r>
        <w:rPr>
          <w:rFonts w:ascii="Calibri" w:hAnsi="Calibri"/>
          <w:b/>
          <w:color w:val="1E1E1E"/>
          <w:sz w:val="21"/>
        </w:rPr>
        <w:t xml:space="preserve">Casing Standards: </w:t>
      </w:r>
      <w:r>
        <w:rPr>
          <w:rFonts w:ascii="Calibri" w:hAnsi="Calibri"/>
          <w:i w:val="0"/>
          <w:color w:val="282828"/>
          <w:sz w:val="21"/>
        </w:rPr>
        <w:t>Specific Casing Styles and Scopes:</w:t>
      </w:r>
    </w:p>
    <w:p>
      <w:pPr>
        <w:pStyle w:val="ListBullet"/>
        <w:spacing w:after="60" w:line="276" w:lineRule="auto"/>
      </w:pPr>
      <w:r>
        <w:rPr>
          <w:rFonts w:ascii="Calibri" w:hAnsi="Calibri"/>
          <w:b/>
          <w:color w:val="1E1E1E"/>
          <w:sz w:val="21"/>
        </w:rPr>
        <w:t xml:space="preserve">PascalCase: </w:t>
      </w:r>
      <w:r>
        <w:rPr>
          <w:rFonts w:ascii="Calibri" w:hAnsi="Calibri"/>
          <w:color w:val="282828"/>
          <w:sz w:val="21"/>
        </w:rPr>
        <w:t>PascalCase: Applied to React UI Components (e.g., StatsSection.jsx, PartnersSection.jsx, AdminLayout.jsx), Context Providers (AuthContext.jsx, ThemeContext.jsx), and PHP Object-Oriented Classes/Exceptions.</w:t>
      </w:r>
    </w:p>
    <w:p>
      <w:pPr>
        <w:pStyle w:val="ListBullet"/>
        <w:spacing w:after="60" w:line="276" w:lineRule="auto"/>
      </w:pPr>
      <w:r>
        <w:rPr>
          <w:rFonts w:ascii="Calibri" w:hAnsi="Calibri"/>
          <w:b/>
          <w:color w:val="1E1E1E"/>
          <w:sz w:val="21"/>
        </w:rPr>
        <w:t xml:space="preserve">camelCase: </w:t>
      </w:r>
      <w:r>
        <w:rPr>
          <w:rFonts w:ascii="Calibri" w:hAnsi="Calibri"/>
          <w:color w:val="282828"/>
          <w:sz w:val="21"/>
        </w:rPr>
        <w:t>camelCase: Applied to JavaScript variables, React custom hooks (e.g., useApiList, usePagination, useAuth), component props, JavaScript helper functions (e.g., fetchDonationStats(), handleVerify()), and JSON API request/response properties.</w:t>
      </w:r>
    </w:p>
    <w:p>
      <w:pPr>
        <w:pStyle w:val="ListBullet"/>
        <w:spacing w:after="60" w:line="276" w:lineRule="auto"/>
      </w:pPr>
      <w:r>
        <w:rPr>
          <w:rFonts w:ascii="Calibri" w:hAnsi="Calibri"/>
          <w:b/>
          <w:color w:val="1E1E1E"/>
          <w:sz w:val="21"/>
        </w:rPr>
        <w:t xml:space="preserve">snake_case: </w:t>
      </w:r>
      <w:r>
        <w:rPr>
          <w:rFonts w:ascii="Calibri" w:hAnsi="Calibri"/>
          <w:color w:val="282828"/>
          <w:sz w:val="21"/>
        </w:rPr>
        <w:t>snake_case: Applied to all database tables and column identifiers (e.g., inventory_items, tracking_code, proof_file, created_at) and PHP backend script variables, database parameters, and procedural functions (e.g., $db_host, get_db_connection()).</w:t>
      </w:r>
    </w:p>
    <w:p>
      <w:pPr>
        <w:pStyle w:val="ListBullet"/>
        <w:spacing w:after="60" w:line="276" w:lineRule="auto"/>
      </w:pPr>
      <w:r>
        <w:rPr>
          <w:rFonts w:ascii="Calibri" w:hAnsi="Calibri"/>
          <w:b/>
          <w:color w:val="1E1E1E"/>
          <w:sz w:val="21"/>
        </w:rPr>
        <w:t xml:space="preserve">UPPER_SNAKE_CASE: </w:t>
      </w:r>
      <w:r>
        <w:rPr>
          <w:rFonts w:ascii="Calibri" w:hAnsi="Calibri"/>
          <w:color w:val="282828"/>
          <w:sz w:val="21"/>
        </w:rPr>
        <w:t>UPPER_SNAKE_CASE: Strictly enforced for global constants, configuration definitions, and environment variables (e.g., DB_HOST, DB_PASSWORD, JWT_SECRET, VITE_API_URL, MAX_UPLOAD_FILE_SIZE_MB).</w:t>
      </w:r>
    </w:p>
    <w:p>
      <w:pPr>
        <w:pStyle w:val="ListBullet"/>
        <w:spacing w:after="60" w:line="276" w:lineRule="auto"/>
      </w:pPr>
      <w:r>
        <w:rPr>
          <w:rFonts w:ascii="Calibri" w:hAnsi="Calibri"/>
          <w:b/>
          <w:color w:val="1E1E1E"/>
          <w:sz w:val="21"/>
        </w:rPr>
        <w:t xml:space="preserve">kebab-case: </w:t>
      </w:r>
      <w:r>
        <w:rPr>
          <w:rFonts w:ascii="Calibri" w:hAnsi="Calibri"/>
          <w:color w:val="282828"/>
          <w:sz w:val="21"/>
        </w:rPr>
        <w:t>kebab-case: Applied to CSS class names (e.g., .stat-card, .btn-primary, .modal-backdrop), URL web route paths (e.g., /admin/inventory-management, /portals/donor/certificates), and REST API endpoint URLs (e.g., /api/donation-updates.php).</w:t>
      </w:r>
    </w:p>
    <w:p>
      <w:pPr>
        <w:spacing w:after="80" w:line="276" w:lineRule="auto"/>
      </w:pPr>
      <w:r>
        <w:rPr>
          <w:rFonts w:ascii="Calibri" w:hAnsi="Calibri"/>
          <w:b/>
          <w:color w:val="1E1E1E"/>
          <w:sz w:val="21"/>
        </w:rPr>
        <w:t xml:space="preserve">Prefixes &amp; Suffixes: </w:t>
      </w:r>
      <w:r>
        <w:rPr>
          <w:rFonts w:ascii="Calibri" w:hAnsi="Calibri"/>
          <w:i w:val="0"/>
          <w:color w:val="282828"/>
          <w:sz w:val="21"/>
        </w:rPr>
        <w:t>Prefixes and Suffixes Requirements:</w:t>
      </w:r>
    </w:p>
    <w:p>
      <w:pPr>
        <w:pStyle w:val="ListBullet"/>
        <w:spacing w:after="60" w:line="276" w:lineRule="auto"/>
      </w:pPr>
      <w:r>
        <w:rPr>
          <w:rFonts w:ascii="Calibri" w:hAnsi="Calibri"/>
          <w:b/>
          <w:color w:val="1E1E1E"/>
          <w:sz w:val="21"/>
        </w:rPr>
        <w:t xml:space="preserve">Booleans: </w:t>
      </w:r>
      <w:r>
        <w:rPr>
          <w:rFonts w:ascii="Calibri" w:hAnsi="Calibri"/>
          <w:color w:val="282828"/>
          <w:sz w:val="21"/>
        </w:rPr>
        <w:t>Boolean Variables &amp; Flags: Must be prefixed with affirmative state verbs such as is, has, can, or should (e.g., isLoading, isVerified, hasPermission, canDistribute, shouldNotify).</w:t>
      </w:r>
    </w:p>
    <w:p>
      <w:pPr>
        <w:pStyle w:val="ListBullet"/>
        <w:spacing w:after="60" w:line="276" w:lineRule="auto"/>
      </w:pPr>
      <w:r>
        <w:rPr>
          <w:rFonts w:ascii="Calibri" w:hAnsi="Calibri"/>
          <w:b/>
          <w:color w:val="1E1E1E"/>
          <w:sz w:val="21"/>
        </w:rPr>
        <w:t xml:space="preserve">Hooks: </w:t>
      </w:r>
      <w:r>
        <w:rPr>
          <w:rFonts w:ascii="Calibri" w:hAnsi="Calibri"/>
          <w:color w:val="282828"/>
          <w:sz w:val="21"/>
        </w:rPr>
        <w:t>React Custom Hooks: Must invariably begin with the 'use' prefix in compliance with React Hook specifications (e.g., useApiList, usePagination, useAuth).</w:t>
      </w:r>
    </w:p>
    <w:p>
      <w:pPr>
        <w:pStyle w:val="ListBullet"/>
        <w:spacing w:after="60" w:line="276" w:lineRule="auto"/>
      </w:pPr>
      <w:r>
        <w:rPr>
          <w:rFonts w:ascii="Calibri" w:hAnsi="Calibri"/>
          <w:b/>
          <w:color w:val="1E1E1E"/>
          <w:sz w:val="21"/>
        </w:rPr>
        <w:t xml:space="preserve">Event Handlers: </w:t>
      </w:r>
      <w:r>
        <w:rPr>
          <w:rFonts w:ascii="Calibri" w:hAnsi="Calibri"/>
          <w:color w:val="282828"/>
          <w:sz w:val="21"/>
        </w:rPr>
        <w:t>Event Handler Functions: Must begin with 'handle' for definition (e.g., handleDonationSubmit, handleStatusChange) or 'on' for assigned component callback props (e.g., onSubmit, onStatusChange).</w:t>
      </w:r>
    </w:p>
    <w:p>
      <w:pPr>
        <w:pStyle w:val="ListBullet"/>
        <w:spacing w:after="60" w:line="276" w:lineRule="auto"/>
      </w:pPr>
      <w:r>
        <w:rPr>
          <w:rFonts w:ascii="Calibri" w:hAnsi="Calibri"/>
          <w:b/>
          <w:color w:val="1E1E1E"/>
          <w:sz w:val="21"/>
        </w:rPr>
        <w:t xml:space="preserve">Foreign Keys: </w:t>
      </w:r>
      <w:r>
        <w:rPr>
          <w:rFonts w:ascii="Calibri" w:hAnsi="Calibri"/>
          <w:color w:val="282828"/>
          <w:sz w:val="21"/>
        </w:rPr>
        <w:t>Database Foreign Keys: Must always be suffixed with '_id' matching the singular referenced table name (e.g., user_id, donor_id, distribution_id, role_id).</w:t>
      </w:r>
    </w:p>
    <w:p>
      <w:pPr>
        <w:spacing w:after="80" w:line="276" w:lineRule="auto"/>
      </w:pPr>
      <w:r>
        <w:rPr>
          <w:rFonts w:ascii="Calibri" w:hAnsi="Calibri"/>
          <w:b/>
          <w:color w:val="1E1E1E"/>
          <w:sz w:val="21"/>
        </w:rPr>
        <w:t xml:space="preserve">Abbreviations: </w:t>
      </w:r>
      <w:r>
        <w:rPr>
          <w:rFonts w:ascii="Calibri" w:hAnsi="Calibri"/>
          <w:i w:val="0"/>
          <w:color w:val="282828"/>
          <w:sz w:val="21"/>
        </w:rPr>
        <w:t>Rules for Abbreviations: Cryptic abbreviations are strictly forbidden. Standard, universally recognized domain abbreviations are permitted: id (Identifier), db (Database), api (Application Programming Interface), url (Uniform Resource Locator), cv (Curriculum Vitae), auth (Authentication), lgu (Local Government Unit). Full descriptive names must be used for business domain models (e.g., use beneficiary instead of ben, and repacking_job instead of rpk_j).</w:t>
      </w:r>
    </w:p>
    <w:p>
      <w:pPr>
        <w:spacing w:after="80" w:line="276" w:lineRule="auto"/>
      </w:pPr>
      <w:r>
        <w:rPr>
          <w:rFonts w:ascii="Calibri" w:hAnsi="Calibri"/>
          <w:b/>
          <w:color w:val="1E1E1E"/>
          <w:sz w:val="21"/>
        </w:rPr>
        <w:t xml:space="preserve">Exceptions: </w:t>
      </w:r>
      <w:r>
        <w:rPr>
          <w:rFonts w:ascii="Calibri" w:hAnsi="Calibri"/>
          <w:i w:val="0"/>
          <w:color w:val="282828"/>
          <w:sz w:val="21"/>
        </w:rPr>
        <w:t>Exceptions: Environmental credentials and hard constants are represented exclusively in ALL_CAPS. Acronyms embedded within camelCase identifiers maintain unified capitalization (e.g., parseCsvFile, fetchApiData).</w:t>
      </w:r>
    </w:p>
    <w:p>
      <w:pPr>
        <w:pStyle w:val="Heading2"/>
        <w:spacing w:before="240" w:after="80"/>
      </w:pPr>
      <w:r>
        <w:rPr>
          <w:rFonts w:ascii="Calibri" w:hAnsi="Calibri"/>
          <w:b/>
          <w:color w:val="2E75B6"/>
          <w:sz w:val="26"/>
        </w:rPr>
        <w:t>4.2.3. Coding Standards</w:t>
      </w:r>
    </w:p>
    <w:p>
      <w:pPr>
        <w:spacing w:after="80" w:line="276" w:lineRule="auto"/>
      </w:pPr>
      <w:r>
        <w:rPr>
          <w:rFonts w:ascii="Calibri" w:hAnsi="Calibri"/>
          <w:b/>
          <w:color w:val="1E1E1E"/>
          <w:sz w:val="21"/>
        </w:rPr>
        <w:t xml:space="preserve">Philosophy: </w:t>
      </w:r>
      <w:r>
        <w:rPr>
          <w:rFonts w:ascii="Calibri" w:hAnsi="Calibri"/>
          <w:i w:val="0"/>
          <w:color w:val="282828"/>
          <w:sz w:val="21"/>
        </w:rPr>
        <w:t>Overall Coding Philosophy: The development team adheres to core software engineering methodologies: 1) DRY (Don't Repeat Yourself) — common database routines, authentication filters, and UI notification modals are centralized into reusable modules; 2) SOLID Principles — especially Single Responsibility for API endpoints and Open/Closed for relief status workflows; 3) KISS (Keep It Simple, Stupid) — avoiding speculative over-engineering in favor of robust, transparent logic; and 4) Defensive Programming — rigorous server-side input validation, strict parameter type-casting, and prepared SQL statements to block SQL injection and Cross-Site Scripting (XSS).</w:t>
      </w:r>
    </w:p>
    <w:p>
      <w:pPr>
        <w:spacing w:after="80" w:line="276" w:lineRule="auto"/>
      </w:pPr>
      <w:r>
        <w:rPr>
          <w:rFonts w:ascii="Calibri" w:hAnsi="Calibri"/>
          <w:b/>
          <w:color w:val="1E1E1E"/>
          <w:sz w:val="21"/>
        </w:rPr>
        <w:t xml:space="preserve">Style Guides Referenced: </w:t>
      </w:r>
      <w:r>
        <w:rPr>
          <w:rFonts w:ascii="Calibri" w:hAnsi="Calibri"/>
          <w:i w:val="0"/>
          <w:color w:val="282828"/>
          <w:sz w:val="21"/>
        </w:rPr>
        <w:t>Language &amp; Framework Style Guides:</w:t>
      </w:r>
    </w:p>
    <w:p>
      <w:pPr>
        <w:pStyle w:val="ListBullet"/>
        <w:spacing w:after="60" w:line="276" w:lineRule="auto"/>
      </w:pPr>
      <w:r>
        <w:rPr>
          <w:rFonts w:ascii="Calibri" w:hAnsi="Calibri"/>
          <w:b/>
          <w:color w:val="1E1E1E"/>
          <w:sz w:val="21"/>
        </w:rPr>
        <w:t xml:space="preserve">JavaScript: </w:t>
      </w:r>
      <w:r>
        <w:rPr>
          <w:rFonts w:ascii="Calibri" w:hAnsi="Calibri"/>
          <w:color w:val="282828"/>
          <w:sz w:val="21"/>
        </w:rPr>
        <w:t>Frontend (JavaScript / React): Airbnb JavaScript Style Guide and Official React.dev guidelines.</w:t>
      </w:r>
    </w:p>
    <w:p>
      <w:pPr>
        <w:pStyle w:val="ListBullet"/>
        <w:spacing w:after="60" w:line="276" w:lineRule="auto"/>
      </w:pPr>
      <w:r>
        <w:rPr>
          <w:rFonts w:ascii="Calibri" w:hAnsi="Calibri"/>
          <w:b/>
          <w:color w:val="1E1E1E"/>
          <w:sz w:val="21"/>
        </w:rPr>
        <w:t xml:space="preserve">PHP: </w:t>
      </w:r>
      <w:r>
        <w:rPr>
          <w:rFonts w:ascii="Calibri" w:hAnsi="Calibri"/>
          <w:color w:val="282828"/>
          <w:sz w:val="21"/>
        </w:rPr>
        <w:t>Backend (PHP): PSR-12 (Extended Coding Style Guide) and PSR-4 (Autoloading Standards) defined by PHP-FIG.</w:t>
      </w:r>
    </w:p>
    <w:p>
      <w:pPr>
        <w:pStyle w:val="ListBullet"/>
        <w:spacing w:after="60" w:line="276" w:lineRule="auto"/>
      </w:pPr>
      <w:r>
        <w:rPr>
          <w:rFonts w:ascii="Calibri" w:hAnsi="Calibri"/>
          <w:b/>
          <w:color w:val="1E1E1E"/>
          <w:sz w:val="21"/>
        </w:rPr>
        <w:t xml:space="preserve">SQL: </w:t>
      </w:r>
      <w:r>
        <w:rPr>
          <w:rFonts w:ascii="Calibri" w:hAnsi="Calibri"/>
          <w:color w:val="282828"/>
          <w:sz w:val="21"/>
        </w:rPr>
        <w:t>Database (SQL): SQL Style Guide (ISO/IEC 9075) with capitalized standard SQL keywords and lowercase table/column names.</w:t>
      </w:r>
    </w:p>
    <w:p>
      <w:pPr>
        <w:spacing w:after="80" w:line="276" w:lineRule="auto"/>
      </w:pPr>
      <w:r>
        <w:rPr>
          <w:rFonts w:ascii="Calibri" w:hAnsi="Calibri"/>
          <w:b/>
          <w:color w:val="1E1E1E"/>
          <w:sz w:val="21"/>
        </w:rPr>
        <w:t xml:space="preserve">Formatting: </w:t>
      </w:r>
      <w:r>
        <w:rPr>
          <w:rFonts w:ascii="Calibri" w:hAnsi="Calibri"/>
          <w:i w:val="0"/>
          <w:color w:val="282828"/>
          <w:sz w:val="21"/>
        </w:rPr>
        <w:t>Formatting Rules: JavaScript and CSS use 2-space soft indentation; PHP backend uses 4-space indentation. Maximum line length is capped at 100 characters. One True Brace Style (1TBS) is applied across JavaScript; PSR-12 brace placement is followed in PHP (classes and methods open on next line; control structures open on same line). Semicolons are mandatory.</w:t>
      </w:r>
    </w:p>
    <w:p>
      <w:pPr>
        <w:spacing w:after="80" w:line="276" w:lineRule="auto"/>
      </w:pPr>
      <w:r>
        <w:rPr>
          <w:rFonts w:ascii="Calibri" w:hAnsi="Calibri"/>
          <w:b/>
          <w:color w:val="1E1E1E"/>
          <w:sz w:val="21"/>
        </w:rPr>
        <w:t xml:space="preserve">Documentation: </w:t>
      </w:r>
      <w:r>
        <w:rPr>
          <w:rFonts w:ascii="Calibri" w:hAnsi="Calibri"/>
          <w:i w:val="0"/>
          <w:color w:val="282828"/>
          <w:sz w:val="21"/>
        </w:rPr>
        <w:t>Commenting &amp; Documentation Expectations: All exported functions, hooks, and endpoints must be documented using structured JSDoc (Frontend) or PHPDoc (Backend) indicating parameter data types, expected returns, and exceptions thrown. Inline comments must document architectural intent ('why') rather than self-evident code statements ('what').</w:t>
      </w:r>
    </w:p>
    <w:p>
      <w:pPr>
        <w:spacing w:after="80" w:line="276" w:lineRule="auto"/>
      </w:pPr>
      <w:r>
        <w:rPr>
          <w:rFonts w:ascii="Calibri" w:hAnsi="Calibri"/>
          <w:b/>
          <w:color w:val="1E1E1E"/>
          <w:sz w:val="21"/>
        </w:rPr>
        <w:t xml:space="preserve">Error Handling: </w:t>
      </w:r>
      <w:r>
        <w:rPr>
          <w:rFonts w:ascii="Calibri" w:hAnsi="Calibri"/>
          <w:i w:val="0"/>
          <w:color w:val="282828"/>
          <w:sz w:val="21"/>
        </w:rPr>
        <w:t>Error Handling Conventions: All API responses conform to a unified JSON response schema:</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F497D"/>
              <w:top w:val="none"/>
              <w:bottom w:val="none"/>
              <w:right w:val="none"/>
            </w:tcBorders>
          </w:tcPr>
          <w:p>
            <w:pPr>
              <w:spacing w:after="80"/>
            </w:pPr>
            <w:r>
              <w:rPr>
                <w:rFonts w:ascii="Calibri" w:hAnsi="Calibri"/>
                <w:b/>
                <w:color w:val="1F497D"/>
                <w:sz w:val="21"/>
              </w:rPr>
              <w:t>Standard JSON Response Schema:</w:t>
              <w:br/>
            </w:r>
            <w:r>
              <w:rPr>
                <w:rFonts w:ascii="Calibri" w:hAnsi="Calibri"/>
                <w:color w:val="3C3C3C"/>
                <w:sz w:val="19"/>
              </w:rPr>
              <w:t>{</w:t>
              <w:br/>
              <w:t xml:space="preserve">  "success": true | false,</w:t>
              <w:br/>
              <w:t xml:space="preserve">  "data": { ... } | null,</w:t>
              <w:br/>
              <w:t xml:space="preserve">  "message": "Descriptive operational message",</w:t>
              <w:br/>
              <w:t xml:space="preserve">  "error": "Standardized error code or null"</w:t>
              <w:br/>
              <w:t>}</w:t>
              <w:br/>
              <w:br/>
              <w:t>Explicit HTTP status codes must be returned (200 OK, 201 Created, 400 Bad Request, 401 Unauthorized, 403 Forbidden, 404 Not Found, 422 Unprocessable Entity, 500 Internal Server Error). Database connection exceptions must be caught and logged server-side, never leaking database passwords or raw stack traces to the client.</w:t>
            </w:r>
          </w:p>
        </w:tc>
      </w:tr>
    </w:tbl>
    <w:p/>
    <w:p>
      <w:pPr>
        <w:spacing w:after="80" w:line="276" w:lineRule="auto"/>
      </w:pPr>
      <w:r>
        <w:rPr>
          <w:rFonts w:ascii="Calibri" w:hAnsi="Calibri"/>
          <w:b/>
          <w:color w:val="1E1E1E"/>
          <w:sz w:val="21"/>
        </w:rPr>
        <w:t xml:space="preserve">Enforcement Tools: </w:t>
      </w:r>
      <w:r>
        <w:rPr>
          <w:rFonts w:ascii="Calibri" w:hAnsi="Calibri"/>
          <w:i w:val="0"/>
          <w:color w:val="282828"/>
          <w:sz w:val="21"/>
        </w:rPr>
        <w:t>Enforcement Tools: ESLint and Prettier for frontend formatting; PHP_CodeSniffer (phpcs) for backend PSR-12 compliance; Git pre-commit hooks configured via Husky to block non-compliant commits.</w:t>
      </w:r>
    </w:p>
    <w:p>
      <w:pPr>
        <w:pStyle w:val="Heading2"/>
        <w:spacing w:before="240" w:after="80"/>
      </w:pPr>
      <w:r>
        <w:rPr>
          <w:rFonts w:ascii="Calibri" w:hAnsi="Calibri"/>
          <w:b/>
          <w:color w:val="2E75B6"/>
          <w:sz w:val="26"/>
        </w:rPr>
        <w:t>4.2.4. Environment Variables Standards</w:t>
      </w:r>
    </w:p>
    <w:p>
      <w:pPr>
        <w:spacing w:after="80" w:line="276" w:lineRule="auto"/>
      </w:pPr>
      <w:r>
        <w:rPr>
          <w:rFonts w:ascii="Calibri" w:hAnsi="Calibri"/>
          <w:b/>
          <w:color w:val="1E1E1E"/>
          <w:sz w:val="21"/>
        </w:rPr>
        <w:t xml:space="preserve">Purpose: </w:t>
      </w:r>
      <w:r>
        <w:rPr>
          <w:rFonts w:ascii="Calibri" w:hAnsi="Calibri"/>
          <w:i w:val="0"/>
          <w:color w:val="282828"/>
          <w:sz w:val="21"/>
        </w:rPr>
        <w:t>Purpose: In strict conformance with the Twelve-Factor App methodology (Config III), all environment-specific configurations, cryptographic secrets, and third-party credentials are completely decoupled from application source code, preventing accidental credential leaks and allowing identical builds to run across Development, UAT, and Production.</w:t>
      </w:r>
    </w:p>
    <w:p>
      <w:pPr>
        <w:spacing w:after="80" w:line="276" w:lineRule="auto"/>
      </w:pPr>
      <w:r>
        <w:rPr>
          <w:rFonts w:ascii="Calibri" w:hAnsi="Calibri"/>
          <w:b/>
          <w:color w:val="1E1E1E"/>
          <w:sz w:val="21"/>
        </w:rPr>
        <w:t xml:space="preserve">Naming Conventions: </w:t>
      </w:r>
      <w:r>
        <w:rPr>
          <w:rFonts w:ascii="Calibri" w:hAnsi="Calibri"/>
          <w:i w:val="0"/>
          <w:color w:val="282828"/>
          <w:sz w:val="21"/>
        </w:rPr>
        <w:t>Naming Conventions &amp; Categories: All environment variables use strict UPPER_SNAKE_CASE prefixed by domain:</w:t>
      </w:r>
    </w:p>
    <w:p>
      <w:pPr>
        <w:pStyle w:val="ListBullet"/>
        <w:spacing w:after="60" w:line="276" w:lineRule="auto"/>
      </w:pPr>
      <w:r>
        <w:rPr>
          <w:rFonts w:ascii="Calibri" w:hAnsi="Calibri"/>
          <w:b/>
          <w:color w:val="1E1E1E"/>
          <w:sz w:val="21"/>
        </w:rPr>
        <w:t xml:space="preserve">Database: </w:t>
      </w:r>
      <w:r>
        <w:rPr>
          <w:rFonts w:ascii="Calibri" w:hAnsi="Calibri"/>
          <w:color w:val="282828"/>
          <w:sz w:val="21"/>
        </w:rPr>
        <w:t>Database Credentials: DB_HOST, DB_PORT, DB_NAME, DB_USER, DB_PASSWORD, DB_SSL.</w:t>
      </w:r>
    </w:p>
    <w:p>
      <w:pPr>
        <w:pStyle w:val="ListBullet"/>
        <w:spacing w:after="60" w:line="276" w:lineRule="auto"/>
      </w:pPr>
      <w:r>
        <w:rPr>
          <w:rFonts w:ascii="Calibri" w:hAnsi="Calibri"/>
          <w:b/>
          <w:color w:val="1E1E1E"/>
          <w:sz w:val="21"/>
        </w:rPr>
        <w:t xml:space="preserve">Integrations: </w:t>
      </w:r>
      <w:r>
        <w:rPr>
          <w:rFonts w:ascii="Calibri" w:hAnsi="Calibri"/>
          <w:color w:val="282828"/>
          <w:sz w:val="21"/>
        </w:rPr>
        <w:t>External API Services: BREVO_API_KEY, GEMINI_API_KEY, MAIL_FROM_EMAIL, MAIL_FROM_NAME.</w:t>
      </w:r>
    </w:p>
    <w:p>
      <w:pPr>
        <w:pStyle w:val="ListBullet"/>
        <w:spacing w:after="60" w:line="276" w:lineRule="auto"/>
      </w:pPr>
      <w:r>
        <w:rPr>
          <w:rFonts w:ascii="Calibri" w:hAnsi="Calibri"/>
          <w:b/>
          <w:color w:val="1E1E1E"/>
          <w:sz w:val="21"/>
        </w:rPr>
        <w:t xml:space="preserve">Frontend (Vite): </w:t>
      </w:r>
      <w:r>
        <w:rPr>
          <w:rFonts w:ascii="Calibri" w:hAnsi="Calibri"/>
          <w:color w:val="282828"/>
          <w:sz w:val="21"/>
        </w:rPr>
        <w:t>Frontend Environment: VITE_API_URL, VITE_APP_ENV, VITE_APP_VERSION.</w:t>
      </w:r>
    </w:p>
    <w:p>
      <w:pPr>
        <w:pStyle w:val="ListBullet"/>
        <w:spacing w:after="60" w:line="276" w:lineRule="auto"/>
      </w:pPr>
      <w:r>
        <w:rPr>
          <w:rFonts w:ascii="Calibri" w:hAnsi="Calibri"/>
          <w:b/>
          <w:color w:val="1E1E1E"/>
          <w:sz w:val="21"/>
        </w:rPr>
        <w:t xml:space="preserve">Security: </w:t>
      </w:r>
      <w:r>
        <w:rPr>
          <w:rFonts w:ascii="Calibri" w:hAnsi="Calibri"/>
          <w:color w:val="282828"/>
          <w:sz w:val="21"/>
        </w:rPr>
        <w:t>CORS &amp; Security: FRONTEND_URL, SESSION_LIFETIME, APP_SECRET.</w:t>
      </w:r>
    </w:p>
    <w:p>
      <w:pPr>
        <w:spacing w:after="80" w:line="276" w:lineRule="auto"/>
      </w:pPr>
      <w:r>
        <w:rPr>
          <w:rFonts w:ascii="Calibri" w:hAnsi="Calibri"/>
          <w:b/>
          <w:color w:val="1E1E1E"/>
          <w:sz w:val="21"/>
        </w:rPr>
        <w:t xml:space="preserve">Storage: </w:t>
      </w:r>
      <w:r>
        <w:rPr>
          <w:rFonts w:ascii="Calibri" w:hAnsi="Calibri"/>
          <w:i w:val="0"/>
          <w:color w:val="282828"/>
          <w:sz w:val="21"/>
        </w:rPr>
        <w:t>Storage &amp; Locations: Locally, environment variables are loaded from an uncommitted .env file. In cloud environments, secrets are managed securely through the Render Environment Dashboard (Backend) and Vercel Project Settings (Frontend). A sanitized template file (.env.example) is committed to version control with descriptive placeholders.</w:t>
      </w:r>
    </w:p>
    <w:p>
      <w:pPr>
        <w:spacing w:after="80" w:line="276" w:lineRule="auto"/>
      </w:pPr>
      <w:r>
        <w:rPr>
          <w:rFonts w:ascii="Calibri" w:hAnsi="Calibri"/>
          <w:b/>
          <w:color w:val="1E1E1E"/>
          <w:sz w:val="21"/>
        </w:rPr>
        <w:t xml:space="preserve">Hardcoding Rules: </w:t>
      </w:r>
      <w:r>
        <w:rPr>
          <w:rFonts w:ascii="Calibri" w:hAnsi="Calibri"/>
          <w:i w:val="0"/>
          <w:color w:val="282828"/>
          <w:sz w:val="21"/>
        </w:rPr>
        <w:t>Hardcoding Policies: Never hardcode passwords, API keys, database URLs, or security secrets. Permissible hardcoded items are limited to non-sensitive defaults, such as default pagination size (10 items), UI label constants, and fixed navigation routes.</w:t>
      </w:r>
    </w:p>
    <w:p>
      <w:pPr>
        <w:spacing w:after="80" w:line="276" w:lineRule="auto"/>
      </w:pPr>
      <w:r>
        <w:rPr>
          <w:rFonts w:ascii="Calibri" w:hAnsi="Calibri"/>
          <w:b/>
          <w:color w:val="1E1E1E"/>
          <w:sz w:val="21"/>
        </w:rPr>
        <w:t xml:space="preserve">Security: </w:t>
      </w:r>
      <w:r>
        <w:rPr>
          <w:rFonts w:ascii="Calibri" w:hAnsi="Calibri"/>
          <w:i w:val="0"/>
          <w:color w:val="282828"/>
          <w:sz w:val="21"/>
        </w:rPr>
        <w:t>Security Practices: .env and .env.local are permanently registered in .gitignore. Production secrets are restricted to designated system administrators. Secrets are rotated every 90 days or immediately upon team member offboarding.</w:t>
      </w:r>
    </w:p>
    <w:p>
      <w:pPr>
        <w:pStyle w:val="Heading2"/>
        <w:spacing w:before="240" w:after="80"/>
      </w:pPr>
      <w:r>
        <w:rPr>
          <w:rFonts w:ascii="Calibri" w:hAnsi="Calibri"/>
          <w:b/>
          <w:color w:val="2E75B6"/>
          <w:sz w:val="26"/>
        </w:rPr>
        <w:t>4.2.5. Folder Structure</w:t>
      </w:r>
    </w:p>
    <w:p>
      <w:pPr>
        <w:spacing w:after="80" w:line="276" w:lineRule="auto"/>
      </w:pPr>
      <w:r>
        <w:rPr>
          <w:rFonts w:ascii="Calibri" w:hAnsi="Calibri"/>
          <w:b/>
          <w:color w:val="1E1E1E"/>
          <w:sz w:val="21"/>
        </w:rPr>
        <w:t xml:space="preserve">Principle: </w:t>
      </w:r>
      <w:r>
        <w:rPr>
          <w:rFonts w:ascii="Calibri" w:hAnsi="Calibri"/>
          <w:i w:val="0"/>
          <w:color w:val="282828"/>
          <w:sz w:val="21"/>
        </w:rPr>
        <w:t>Organizing Principle: The repository employs a Layered, Decoupled Client-Server Modular Architecture. The codebase cleanly separates the user interface Single Page Application (/Frontend) from the stateless REST API (/Backend) and shared data migration assets (/database).</w:t>
      </w:r>
    </w:p>
    <w:p>
      <w:pPr>
        <w:spacing w:after="80" w:line="276" w:lineRule="auto"/>
      </w:pPr>
      <w:r>
        <w:rPr>
          <w:rFonts w:ascii="Calibri" w:hAnsi="Calibri"/>
          <w:b/>
          <w:color w:val="1E1E1E"/>
          <w:sz w:val="21"/>
        </w:rPr>
        <w:t xml:space="preserve">Directory Map: </w:t>
      </w:r>
      <w:r>
        <w:rPr>
          <w:rFonts w:ascii="Calibri" w:hAnsi="Calibri"/>
          <w:i w:val="0"/>
          <w:color w:val="282828"/>
          <w:sz w:val="21"/>
        </w:rPr>
        <w:t>Top-Level Structure &amp; Sub-Folder Roles: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2592"/>
            <w:shd w:fill="1F497D"/>
            <w:tcMar>
              <w:top w:w="120" w:type="dxa"/>
              <w:bottom w:w="120" w:type="dxa"/>
              <w:left w:w="150" w:type="dxa"/>
              <w:right w:w="150" w:type="dxa"/>
            </w:tcMar>
          </w:tcPr>
          <w:p>
            <w:pPr>
              <w:jc w:val="center"/>
            </w:pPr>
            <w:r>
              <w:rPr>
                <w:rFonts w:ascii="Calibri" w:hAnsi="Calibri"/>
                <w:b/>
                <w:color w:val="FFFFFF"/>
                <w:sz w:val="20"/>
              </w:rPr>
              <w:t>Directory Path</w:t>
            </w:r>
          </w:p>
        </w:tc>
        <w:tc>
          <w:tcPr>
            <w:tcW w:type="dxa" w:w="2016"/>
            <w:shd w:fill="1F497D"/>
            <w:tcMar>
              <w:top w:w="120" w:type="dxa"/>
              <w:bottom w:w="120" w:type="dxa"/>
              <w:left w:w="150" w:type="dxa"/>
              <w:right w:w="150" w:type="dxa"/>
            </w:tcMar>
          </w:tcPr>
          <w:p>
            <w:pPr>
              <w:jc w:val="center"/>
            </w:pPr>
            <w:r>
              <w:rPr>
                <w:rFonts w:ascii="Calibri" w:hAnsi="Calibri"/>
                <w:b/>
                <w:color w:val="FFFFFF"/>
                <w:sz w:val="20"/>
              </w:rPr>
              <w:t>Layer / Scope</w:t>
            </w:r>
          </w:p>
        </w:tc>
        <w:tc>
          <w:tcPr>
            <w:tcW w:type="dxa" w:w="5472"/>
            <w:shd w:fill="1F497D"/>
            <w:tcMar>
              <w:top w:w="120" w:type="dxa"/>
              <w:bottom w:w="120" w:type="dxa"/>
              <w:left w:w="150" w:type="dxa"/>
              <w:right w:w="150" w:type="dxa"/>
            </w:tcMar>
          </w:tcPr>
          <w:p>
            <w:pPr>
              <w:jc w:val="center"/>
            </w:pPr>
            <w:r>
              <w:rPr>
                <w:rFonts w:ascii="Calibri" w:hAnsi="Calibri"/>
                <w:b/>
                <w:color w:val="FFFFFF"/>
                <w:sz w:val="20"/>
              </w:rPr>
              <w:t>Architectural Responsibility</w:t>
            </w:r>
          </w:p>
        </w:tc>
      </w:tr>
      <w:tr>
        <w:tc>
          <w:tcPr>
            <w:tcW w:type="dxa" w:w="2592"/>
            <w:shd w:fill="FFFFFF"/>
            <w:tcMar>
              <w:top w:w="100" w:type="dxa"/>
              <w:bottom w:w="100" w:type="dxa"/>
              <w:left w:w="150" w:type="dxa"/>
              <w:right w:w="150" w:type="dxa"/>
            </w:tcMar>
          </w:tcPr>
          <w:p>
            <w:r>
              <w:rPr>
                <w:rFonts w:ascii="Calibri" w:hAnsi="Calibri"/>
                <w:color w:val="1E1E1E"/>
                <w:sz w:val="19"/>
              </w:rPr>
              <w:t>/Backend/api/</w:t>
            </w:r>
          </w:p>
        </w:tc>
        <w:tc>
          <w:tcPr>
            <w:tcW w:type="dxa" w:w="2016"/>
            <w:shd w:fill="FFFFFF"/>
            <w:tcMar>
              <w:top w:w="100" w:type="dxa"/>
              <w:bottom w:w="100" w:type="dxa"/>
              <w:left w:w="150" w:type="dxa"/>
              <w:right w:w="150" w:type="dxa"/>
            </w:tcMar>
          </w:tcPr>
          <w:p>
            <w:r>
              <w:rPr>
                <w:rFonts w:ascii="Calibri" w:hAnsi="Calibri"/>
                <w:color w:val="1E1E1E"/>
                <w:sz w:val="19"/>
              </w:rPr>
              <w:t>Backend API</w:t>
            </w:r>
          </w:p>
        </w:tc>
        <w:tc>
          <w:tcPr>
            <w:tcW w:type="dxa" w:w="5472"/>
            <w:shd w:fill="FFFFFF"/>
            <w:tcMar>
              <w:top w:w="100" w:type="dxa"/>
              <w:bottom w:w="100" w:type="dxa"/>
              <w:left w:w="150" w:type="dxa"/>
              <w:right w:w="150" w:type="dxa"/>
            </w:tcMar>
          </w:tcPr>
          <w:p>
            <w:r>
              <w:rPr>
                <w:rFonts w:ascii="Calibri" w:hAnsi="Calibri"/>
                <w:color w:val="1E1E1E"/>
                <w:sz w:val="19"/>
              </w:rPr>
              <w:t>PHP RESTful API endpoints (donations, inventory, distributions, auth), session handling, and CORS middleware.</w:t>
            </w:r>
          </w:p>
        </w:tc>
      </w:tr>
      <w:tr>
        <w:tc>
          <w:tcPr>
            <w:tcW w:type="dxa" w:w="2592"/>
            <w:shd w:fill="F7F9FC"/>
            <w:tcMar>
              <w:top w:w="100" w:type="dxa"/>
              <w:bottom w:w="100" w:type="dxa"/>
              <w:left w:w="150" w:type="dxa"/>
              <w:right w:w="150" w:type="dxa"/>
            </w:tcMar>
          </w:tcPr>
          <w:p>
            <w:r>
              <w:rPr>
                <w:rFonts w:ascii="Calibri" w:hAnsi="Calibri"/>
                <w:color w:val="1E1E1E"/>
                <w:sz w:val="19"/>
              </w:rPr>
              <w:t>/Backend/api/uploads/</w:t>
            </w:r>
          </w:p>
        </w:tc>
        <w:tc>
          <w:tcPr>
            <w:tcW w:type="dxa" w:w="2016"/>
            <w:shd w:fill="F7F9FC"/>
            <w:tcMar>
              <w:top w:w="100" w:type="dxa"/>
              <w:bottom w:w="100" w:type="dxa"/>
              <w:left w:w="150" w:type="dxa"/>
              <w:right w:w="150" w:type="dxa"/>
            </w:tcMar>
          </w:tcPr>
          <w:p>
            <w:r>
              <w:rPr>
                <w:rFonts w:ascii="Calibri" w:hAnsi="Calibri"/>
                <w:color w:val="1E1E1E"/>
                <w:sz w:val="19"/>
              </w:rPr>
              <w:t>Storage</w:t>
            </w:r>
          </w:p>
        </w:tc>
        <w:tc>
          <w:tcPr>
            <w:tcW w:type="dxa" w:w="5472"/>
            <w:shd w:fill="F7F9FC"/>
            <w:tcMar>
              <w:top w:w="100" w:type="dxa"/>
              <w:bottom w:w="100" w:type="dxa"/>
              <w:left w:w="150" w:type="dxa"/>
              <w:right w:w="150" w:type="dxa"/>
            </w:tcMar>
          </w:tcPr>
          <w:p>
            <w:r>
              <w:rPr>
                <w:rFonts w:ascii="Calibri" w:hAnsi="Calibri"/>
                <w:color w:val="1E1E1E"/>
                <w:sz w:val="19"/>
              </w:rPr>
              <w:t>Secure file system directory for recipient proof photos, donation receipts, and volunteer CV uploads.</w:t>
            </w:r>
          </w:p>
        </w:tc>
      </w:tr>
      <w:tr>
        <w:tc>
          <w:tcPr>
            <w:tcW w:type="dxa" w:w="2592"/>
            <w:shd w:fill="FFFFFF"/>
            <w:tcMar>
              <w:top w:w="100" w:type="dxa"/>
              <w:bottom w:w="100" w:type="dxa"/>
              <w:left w:w="150" w:type="dxa"/>
              <w:right w:w="150" w:type="dxa"/>
            </w:tcMar>
          </w:tcPr>
          <w:p>
            <w:r>
              <w:rPr>
                <w:rFonts w:ascii="Calibri" w:hAnsi="Calibri"/>
                <w:color w:val="1E1E1E"/>
                <w:sz w:val="19"/>
              </w:rPr>
              <w:t>/Frontend/src/pages/</w:t>
            </w:r>
          </w:p>
        </w:tc>
        <w:tc>
          <w:tcPr>
            <w:tcW w:type="dxa" w:w="2016"/>
            <w:shd w:fill="FFFFFF"/>
            <w:tcMar>
              <w:top w:w="100" w:type="dxa"/>
              <w:bottom w:w="100" w:type="dxa"/>
              <w:left w:w="150" w:type="dxa"/>
              <w:right w:w="150" w:type="dxa"/>
            </w:tcMar>
          </w:tcPr>
          <w:p>
            <w:r>
              <w:rPr>
                <w:rFonts w:ascii="Calibri" w:hAnsi="Calibri"/>
                <w:color w:val="1E1E1E"/>
                <w:sz w:val="19"/>
              </w:rPr>
              <w:t>Frontend Views</w:t>
            </w:r>
          </w:p>
        </w:tc>
        <w:tc>
          <w:tcPr>
            <w:tcW w:type="dxa" w:w="5472"/>
            <w:shd w:fill="FFFFFF"/>
            <w:tcMar>
              <w:top w:w="100" w:type="dxa"/>
              <w:bottom w:w="100" w:type="dxa"/>
              <w:left w:w="150" w:type="dxa"/>
              <w:right w:w="150" w:type="dxa"/>
            </w:tcMar>
          </w:tcPr>
          <w:p>
            <w:r>
              <w:rPr>
                <w:rFonts w:ascii="Calibri" w:hAnsi="Calibri"/>
                <w:color w:val="1E1E1E"/>
                <w:sz w:val="19"/>
              </w:rPr>
              <w:t>Top-level page views (Home, AboutUs, FAQ, Public Donation Tracking, Login, Register).</w:t>
            </w:r>
          </w:p>
        </w:tc>
      </w:tr>
      <w:tr>
        <w:tc>
          <w:tcPr>
            <w:tcW w:type="dxa" w:w="2592"/>
            <w:shd w:fill="F7F9FC"/>
            <w:tcMar>
              <w:top w:w="100" w:type="dxa"/>
              <w:bottom w:w="100" w:type="dxa"/>
              <w:left w:w="150" w:type="dxa"/>
              <w:right w:w="150" w:type="dxa"/>
            </w:tcMar>
          </w:tcPr>
          <w:p>
            <w:r>
              <w:rPr>
                <w:rFonts w:ascii="Calibri" w:hAnsi="Calibri"/>
                <w:color w:val="1E1E1E"/>
                <w:sz w:val="19"/>
              </w:rPr>
              <w:t>/Frontend/src/portals/</w:t>
            </w:r>
          </w:p>
        </w:tc>
        <w:tc>
          <w:tcPr>
            <w:tcW w:type="dxa" w:w="2016"/>
            <w:shd w:fill="F7F9FC"/>
            <w:tcMar>
              <w:top w:w="100" w:type="dxa"/>
              <w:bottom w:w="100" w:type="dxa"/>
              <w:left w:w="150" w:type="dxa"/>
              <w:right w:w="150" w:type="dxa"/>
            </w:tcMar>
          </w:tcPr>
          <w:p>
            <w:r>
              <w:rPr>
                <w:rFonts w:ascii="Calibri" w:hAnsi="Calibri"/>
                <w:color w:val="1E1E1E"/>
                <w:sz w:val="19"/>
              </w:rPr>
              <w:t>Role Modules</w:t>
            </w:r>
          </w:p>
        </w:tc>
        <w:tc>
          <w:tcPr>
            <w:tcW w:type="dxa" w:w="5472"/>
            <w:shd w:fill="F7F9FC"/>
            <w:tcMar>
              <w:top w:w="100" w:type="dxa"/>
              <w:bottom w:w="100" w:type="dxa"/>
              <w:left w:w="150" w:type="dxa"/>
              <w:right w:w="150" w:type="dxa"/>
            </w:tcMar>
          </w:tcPr>
          <w:p>
            <w:r>
              <w:rPr>
                <w:rFonts w:ascii="Calibri" w:hAnsi="Calibri"/>
                <w:color w:val="1E1E1E"/>
                <w:sz w:val="19"/>
              </w:rPr>
              <w:t>Role-based user portal layouts and specialized sub-views (Admin, Donor, Volunteer, Beneficiary, Staff).</w:t>
            </w:r>
          </w:p>
        </w:tc>
      </w:tr>
      <w:tr>
        <w:tc>
          <w:tcPr>
            <w:tcW w:type="dxa" w:w="2592"/>
            <w:shd w:fill="FFFFFF"/>
            <w:tcMar>
              <w:top w:w="100" w:type="dxa"/>
              <w:bottom w:w="100" w:type="dxa"/>
              <w:left w:w="150" w:type="dxa"/>
              <w:right w:w="150" w:type="dxa"/>
            </w:tcMar>
          </w:tcPr>
          <w:p>
            <w:r>
              <w:rPr>
                <w:rFonts w:ascii="Calibri" w:hAnsi="Calibri"/>
                <w:color w:val="1E1E1E"/>
                <w:sz w:val="19"/>
              </w:rPr>
              <w:t>/Frontend/src/components/</w:t>
            </w:r>
          </w:p>
        </w:tc>
        <w:tc>
          <w:tcPr>
            <w:tcW w:type="dxa" w:w="2016"/>
            <w:shd w:fill="FFFFFF"/>
            <w:tcMar>
              <w:top w:w="100" w:type="dxa"/>
              <w:bottom w:w="100" w:type="dxa"/>
              <w:left w:w="150" w:type="dxa"/>
              <w:right w:w="150" w:type="dxa"/>
            </w:tcMar>
          </w:tcPr>
          <w:p>
            <w:r>
              <w:rPr>
                <w:rFonts w:ascii="Calibri" w:hAnsi="Calibri"/>
                <w:color w:val="1E1E1E"/>
                <w:sz w:val="19"/>
              </w:rPr>
              <w:t>UI Components</w:t>
            </w:r>
          </w:p>
        </w:tc>
        <w:tc>
          <w:tcPr>
            <w:tcW w:type="dxa" w:w="5472"/>
            <w:shd w:fill="FFFFFF"/>
            <w:tcMar>
              <w:top w:w="100" w:type="dxa"/>
              <w:bottom w:w="100" w:type="dxa"/>
              <w:left w:w="150" w:type="dxa"/>
              <w:right w:w="150" w:type="dxa"/>
            </w:tcMar>
          </w:tcPr>
          <w:p>
            <w:r>
              <w:rPr>
                <w:rFonts w:ascii="Calibri" w:hAnsi="Calibri"/>
                <w:color w:val="1E1E1E"/>
                <w:sz w:val="19"/>
              </w:rPr>
              <w:t>Reusable modular interface components divided into /admin, /layout, /shared, and /home.</w:t>
            </w:r>
          </w:p>
        </w:tc>
      </w:tr>
      <w:tr>
        <w:tc>
          <w:tcPr>
            <w:tcW w:type="dxa" w:w="2592"/>
            <w:shd w:fill="F7F9FC"/>
            <w:tcMar>
              <w:top w:w="100" w:type="dxa"/>
              <w:bottom w:w="100" w:type="dxa"/>
              <w:left w:w="150" w:type="dxa"/>
              <w:right w:w="150" w:type="dxa"/>
            </w:tcMar>
          </w:tcPr>
          <w:p>
            <w:r>
              <w:rPr>
                <w:rFonts w:ascii="Calibri" w:hAnsi="Calibri"/>
                <w:color w:val="1E1E1E"/>
                <w:sz w:val="19"/>
              </w:rPr>
              <w:t>/Frontend/src/context/</w:t>
            </w:r>
          </w:p>
        </w:tc>
        <w:tc>
          <w:tcPr>
            <w:tcW w:type="dxa" w:w="2016"/>
            <w:shd w:fill="F7F9FC"/>
            <w:tcMar>
              <w:top w:w="100" w:type="dxa"/>
              <w:bottom w:w="100" w:type="dxa"/>
              <w:left w:w="150" w:type="dxa"/>
              <w:right w:w="150" w:type="dxa"/>
            </w:tcMar>
          </w:tcPr>
          <w:p>
            <w:r>
              <w:rPr>
                <w:rFonts w:ascii="Calibri" w:hAnsi="Calibri"/>
                <w:color w:val="1E1E1E"/>
                <w:sz w:val="19"/>
              </w:rPr>
              <w:t>State Management</w:t>
            </w:r>
          </w:p>
        </w:tc>
        <w:tc>
          <w:tcPr>
            <w:tcW w:type="dxa" w:w="5472"/>
            <w:shd w:fill="F7F9FC"/>
            <w:tcMar>
              <w:top w:w="100" w:type="dxa"/>
              <w:bottom w:w="100" w:type="dxa"/>
              <w:left w:w="150" w:type="dxa"/>
              <w:right w:w="150" w:type="dxa"/>
            </w:tcMar>
          </w:tcPr>
          <w:p>
            <w:r>
              <w:rPr>
                <w:rFonts w:ascii="Calibri" w:hAnsi="Calibri"/>
                <w:color w:val="1E1E1E"/>
                <w:sz w:val="19"/>
              </w:rPr>
              <w:t>Global React Context providers (AuthContext.jsx, ThemeContext.jsx).</w:t>
            </w:r>
          </w:p>
        </w:tc>
      </w:tr>
      <w:tr>
        <w:tc>
          <w:tcPr>
            <w:tcW w:type="dxa" w:w="2592"/>
            <w:shd w:fill="FFFFFF"/>
            <w:tcMar>
              <w:top w:w="100" w:type="dxa"/>
              <w:bottom w:w="100" w:type="dxa"/>
              <w:left w:w="150" w:type="dxa"/>
              <w:right w:w="150" w:type="dxa"/>
            </w:tcMar>
          </w:tcPr>
          <w:p>
            <w:r>
              <w:rPr>
                <w:rFonts w:ascii="Calibri" w:hAnsi="Calibri"/>
                <w:color w:val="1E1E1E"/>
                <w:sz w:val="19"/>
              </w:rPr>
              <w:t>/Frontend/src/hooks/</w:t>
            </w:r>
          </w:p>
        </w:tc>
        <w:tc>
          <w:tcPr>
            <w:tcW w:type="dxa" w:w="2016"/>
            <w:shd w:fill="FFFFFF"/>
            <w:tcMar>
              <w:top w:w="100" w:type="dxa"/>
              <w:bottom w:w="100" w:type="dxa"/>
              <w:left w:w="150" w:type="dxa"/>
              <w:right w:w="150" w:type="dxa"/>
            </w:tcMar>
          </w:tcPr>
          <w:p>
            <w:r>
              <w:rPr>
                <w:rFonts w:ascii="Calibri" w:hAnsi="Calibri"/>
                <w:color w:val="1E1E1E"/>
                <w:sz w:val="19"/>
              </w:rPr>
              <w:t>Custom Logic</w:t>
            </w:r>
          </w:p>
        </w:tc>
        <w:tc>
          <w:tcPr>
            <w:tcW w:type="dxa" w:w="5472"/>
            <w:shd w:fill="FFFFFF"/>
            <w:tcMar>
              <w:top w:w="100" w:type="dxa"/>
              <w:bottom w:w="100" w:type="dxa"/>
              <w:left w:w="150" w:type="dxa"/>
              <w:right w:w="150" w:type="dxa"/>
            </w:tcMar>
          </w:tcPr>
          <w:p>
            <w:r>
              <w:rPr>
                <w:rFonts w:ascii="Calibri" w:hAnsi="Calibri"/>
                <w:color w:val="1E1E1E"/>
                <w:sz w:val="19"/>
              </w:rPr>
              <w:t>Reusable custom React hooks (useApiList.js, usePagination.js).</w:t>
            </w:r>
          </w:p>
        </w:tc>
      </w:tr>
      <w:tr>
        <w:tc>
          <w:tcPr>
            <w:tcW w:type="dxa" w:w="2592"/>
            <w:shd w:fill="F7F9FC"/>
            <w:tcMar>
              <w:top w:w="100" w:type="dxa"/>
              <w:bottom w:w="100" w:type="dxa"/>
              <w:left w:w="150" w:type="dxa"/>
              <w:right w:w="150" w:type="dxa"/>
            </w:tcMar>
          </w:tcPr>
          <w:p>
            <w:r>
              <w:rPr>
                <w:rFonts w:ascii="Calibri" w:hAnsi="Calibri"/>
                <w:color w:val="1E1E1E"/>
                <w:sz w:val="19"/>
              </w:rPr>
              <w:t>/Frontend/src/styles/</w:t>
            </w:r>
          </w:p>
        </w:tc>
        <w:tc>
          <w:tcPr>
            <w:tcW w:type="dxa" w:w="2016"/>
            <w:shd w:fill="F7F9FC"/>
            <w:tcMar>
              <w:top w:w="100" w:type="dxa"/>
              <w:bottom w:w="100" w:type="dxa"/>
              <w:left w:w="150" w:type="dxa"/>
              <w:right w:w="150" w:type="dxa"/>
            </w:tcMar>
          </w:tcPr>
          <w:p>
            <w:r>
              <w:rPr>
                <w:rFonts w:ascii="Calibri" w:hAnsi="Calibri"/>
                <w:color w:val="1E1E1E"/>
                <w:sz w:val="19"/>
              </w:rPr>
              <w:t>Styling</w:t>
            </w:r>
          </w:p>
        </w:tc>
        <w:tc>
          <w:tcPr>
            <w:tcW w:type="dxa" w:w="5472"/>
            <w:shd w:fill="F7F9FC"/>
            <w:tcMar>
              <w:top w:w="100" w:type="dxa"/>
              <w:bottom w:w="100" w:type="dxa"/>
              <w:left w:w="150" w:type="dxa"/>
              <w:right w:w="150" w:type="dxa"/>
            </w:tcMar>
          </w:tcPr>
          <w:p>
            <w:r>
              <w:rPr>
                <w:rFonts w:ascii="Calibri" w:hAnsi="Calibri"/>
                <w:color w:val="1E1E1E"/>
                <w:sz w:val="19"/>
              </w:rPr>
              <w:t>Global CSS stylesheets, CSS custom property design tokens, and role-specific portal styles.</w:t>
            </w:r>
          </w:p>
        </w:tc>
      </w:tr>
      <w:tr>
        <w:tc>
          <w:tcPr>
            <w:tcW w:type="dxa" w:w="2592"/>
            <w:shd w:fill="FFFFFF"/>
            <w:tcMar>
              <w:top w:w="100" w:type="dxa"/>
              <w:bottom w:w="100" w:type="dxa"/>
              <w:left w:w="150" w:type="dxa"/>
              <w:right w:w="150" w:type="dxa"/>
            </w:tcMar>
          </w:tcPr>
          <w:p>
            <w:r>
              <w:rPr>
                <w:rFonts w:ascii="Calibri" w:hAnsi="Calibri"/>
                <w:color w:val="1E1E1E"/>
                <w:sz w:val="19"/>
              </w:rPr>
              <w:t>/database/</w:t>
            </w:r>
          </w:p>
        </w:tc>
        <w:tc>
          <w:tcPr>
            <w:tcW w:type="dxa" w:w="2016"/>
            <w:shd w:fill="FFFFFF"/>
            <w:tcMar>
              <w:top w:w="100" w:type="dxa"/>
              <w:bottom w:w="100" w:type="dxa"/>
              <w:left w:w="150" w:type="dxa"/>
              <w:right w:w="150" w:type="dxa"/>
            </w:tcMar>
          </w:tcPr>
          <w:p>
            <w:r>
              <w:rPr>
                <w:rFonts w:ascii="Calibri" w:hAnsi="Calibri"/>
                <w:color w:val="1E1E1E"/>
                <w:sz w:val="19"/>
              </w:rPr>
              <w:t>Persistence</w:t>
            </w:r>
          </w:p>
        </w:tc>
        <w:tc>
          <w:tcPr>
            <w:tcW w:type="dxa" w:w="5472"/>
            <w:shd w:fill="FFFFFF"/>
            <w:tcMar>
              <w:top w:w="100" w:type="dxa"/>
              <w:bottom w:w="100" w:type="dxa"/>
              <w:left w:w="150" w:type="dxa"/>
              <w:right w:w="150" w:type="dxa"/>
            </w:tcMar>
          </w:tcPr>
          <w:p>
            <w:r>
              <w:rPr>
                <w:rFonts w:ascii="Calibri" w:hAnsi="Calibri"/>
                <w:color w:val="1E1E1E"/>
                <w:sz w:val="19"/>
              </w:rPr>
              <w:t>Master SQL schema files (donation_system.sql), seed fixtures, and DATABASE_METADATA.md documentation.</w:t>
            </w:r>
          </w:p>
        </w:tc>
      </w:tr>
      <w:tr>
        <w:tc>
          <w:tcPr>
            <w:tcW w:type="dxa" w:w="2592"/>
            <w:shd w:fill="F7F9FC"/>
            <w:tcMar>
              <w:top w:w="100" w:type="dxa"/>
              <w:bottom w:w="100" w:type="dxa"/>
              <w:left w:w="150" w:type="dxa"/>
              <w:right w:w="150" w:type="dxa"/>
            </w:tcMar>
          </w:tcPr>
          <w:p>
            <w:r>
              <w:rPr>
                <w:rFonts w:ascii="Calibri" w:hAnsi="Calibri"/>
                <w:color w:val="1E1E1E"/>
                <w:sz w:val="19"/>
              </w:rPr>
              <w:t>/mail-service/</w:t>
            </w:r>
          </w:p>
        </w:tc>
        <w:tc>
          <w:tcPr>
            <w:tcW w:type="dxa" w:w="2016"/>
            <w:shd w:fill="F7F9FC"/>
            <w:tcMar>
              <w:top w:w="100" w:type="dxa"/>
              <w:bottom w:w="100" w:type="dxa"/>
              <w:left w:w="150" w:type="dxa"/>
              <w:right w:w="150" w:type="dxa"/>
            </w:tcMar>
          </w:tcPr>
          <w:p>
            <w:r>
              <w:rPr>
                <w:rFonts w:ascii="Calibri" w:hAnsi="Calibri"/>
                <w:color w:val="1E1E1E"/>
                <w:sz w:val="19"/>
              </w:rPr>
              <w:t>Microservice</w:t>
            </w:r>
          </w:p>
        </w:tc>
        <w:tc>
          <w:tcPr>
            <w:tcW w:type="dxa" w:w="5472"/>
            <w:shd w:fill="F7F9FC"/>
            <w:tcMar>
              <w:top w:w="100" w:type="dxa"/>
              <w:bottom w:w="100" w:type="dxa"/>
              <w:left w:w="150" w:type="dxa"/>
              <w:right w:w="150" w:type="dxa"/>
            </w:tcMar>
          </w:tcPr>
          <w:p>
            <w:r>
              <w:rPr>
                <w:rFonts w:ascii="Calibri" w:hAnsi="Calibri"/>
                <w:color w:val="1E1E1E"/>
                <w:sz w:val="19"/>
              </w:rPr>
              <w:t>Express / Node.js background mail notification microservice for queueing transactional notices.</w:t>
            </w:r>
          </w:p>
        </w:tc>
      </w:tr>
    </w:tbl>
    <w:p/>
    <w:p>
      <w:pPr>
        <w:spacing w:after="80" w:line="276" w:lineRule="auto"/>
      </w:pPr>
      <w:r>
        <w:rPr>
          <w:rFonts w:ascii="Calibri" w:hAnsi="Calibri"/>
          <w:b/>
          <w:color w:val="1E1E1E"/>
          <w:sz w:val="21"/>
        </w:rPr>
        <w:t xml:space="preserve">Nested Rules: </w:t>
      </w:r>
      <w:r>
        <w:rPr>
          <w:rFonts w:ascii="Calibri" w:hAnsi="Calibri"/>
          <w:i w:val="0"/>
          <w:color w:val="282828"/>
          <w:sz w:val="21"/>
        </w:rPr>
        <w:t>Nested Rules &amp; Naming: Components are grouped by feature domain. Any UI element reused across two or more portals must reside under /components/shared/. Folder names are lowercase with hyphens for services and PascalCase for React component containers.</w:t>
      </w:r>
    </w:p>
    <w:p>
      <w:pPr>
        <w:pStyle w:val="Heading2"/>
        <w:spacing w:before="240" w:after="80"/>
      </w:pPr>
      <w:r>
        <w:rPr>
          <w:rFonts w:ascii="Calibri" w:hAnsi="Calibri"/>
          <w:b/>
          <w:color w:val="2E75B6"/>
          <w:sz w:val="26"/>
        </w:rPr>
        <w:t>4.2.6. Taxonomy/Metadata Standards</w:t>
      </w:r>
    </w:p>
    <w:p>
      <w:pPr>
        <w:spacing w:after="80" w:line="276" w:lineRule="auto"/>
      </w:pPr>
      <w:r>
        <w:rPr>
          <w:rFonts w:ascii="Calibri" w:hAnsi="Calibri"/>
          <w:b/>
          <w:color w:val="1E1E1E"/>
          <w:sz w:val="21"/>
        </w:rPr>
        <w:t xml:space="preserve">Purpose: </w:t>
      </w:r>
      <w:r>
        <w:rPr>
          <w:rFonts w:ascii="Calibri" w:hAnsi="Calibri"/>
          <w:i w:val="0"/>
          <w:color w:val="282828"/>
          <w:sz w:val="21"/>
        </w:rPr>
        <w:t>Purpose: Establishing rigorous taxonomy and metadata standards guarantees consistent data classification, predictable API contracts, structured code documentation, and unambiguous semantic versioning across the entire humanitarian relief system lifecycle.</w:t>
      </w:r>
    </w:p>
    <w:p>
      <w:pPr>
        <w:pStyle w:val="ListBullet"/>
        <w:spacing w:after="60" w:line="276" w:lineRule="auto"/>
      </w:pPr>
      <w:r>
        <w:rPr>
          <w:rFonts w:ascii="Calibri" w:hAnsi="Calibri"/>
          <w:b/>
          <w:color w:val="1E1E1E"/>
          <w:sz w:val="21"/>
        </w:rPr>
        <w:t xml:space="preserve">Database Metadata: </w:t>
      </w:r>
      <w:r>
        <w:rPr>
          <w:rFonts w:ascii="Calibri" w:hAnsi="Calibri"/>
          <w:color w:val="282828"/>
          <w:sz w:val="21"/>
        </w:rPr>
        <w:t>Database Schema Taxonomy: Tables are pluralized snake_case nouns (e.g., assistance_requests). Primary keys are consistently named id (BIGINT UNSIGNED AUTO_INCREMENT). Foreign keys strictly follow singular_parent_table_id. Audit timestamps created_at and updated_at are mandatory on all core transactional tables.</w:t>
      </w:r>
    </w:p>
    <w:p>
      <w:pPr>
        <w:pStyle w:val="ListBullet"/>
        <w:spacing w:after="60" w:line="276" w:lineRule="auto"/>
      </w:pPr>
      <w:r>
        <w:rPr>
          <w:rFonts w:ascii="Calibri" w:hAnsi="Calibri"/>
          <w:b/>
          <w:color w:val="1E1E1E"/>
          <w:sz w:val="21"/>
        </w:rPr>
        <w:t xml:space="preserve">API Metadata: </w:t>
      </w:r>
      <w:r>
        <w:rPr>
          <w:rFonts w:ascii="Calibri" w:hAnsi="Calibri"/>
          <w:color w:val="282828"/>
          <w:sz w:val="21"/>
        </w:rPr>
        <w:t>API Metadata &amp; Envelope: Every API endpoint returns explicit metadata headers (Content-Type: application/json; charset=utf-8, X-API-Version: 1.0.0). Paginated endpoints return metadata envelopes containing total_records, current_page, per_page, and total_pages.</w:t>
      </w:r>
    </w:p>
    <w:p>
      <w:pPr>
        <w:pStyle w:val="ListBullet"/>
        <w:spacing w:after="60" w:line="276" w:lineRule="auto"/>
      </w:pPr>
      <w:r>
        <w:rPr>
          <w:rFonts w:ascii="Calibri" w:hAnsi="Calibri"/>
          <w:b/>
          <w:color w:val="1E1E1E"/>
          <w:sz w:val="21"/>
        </w:rPr>
        <w:t xml:space="preserve">Code Tags: </w:t>
      </w:r>
      <w:r>
        <w:rPr>
          <w:rFonts w:ascii="Calibri" w:hAnsi="Calibri"/>
          <w:color w:val="282828"/>
          <w:sz w:val="21"/>
        </w:rPr>
        <w:t>Code Documentation Metadata: Standardized PHPDoc and JSDoc annotations (@param, @returns, @throws, @deprecated, @author) must precede all core utility routines and custom hooks.</w:t>
      </w:r>
    </w:p>
    <w:p>
      <w:pPr>
        <w:pStyle w:val="ListBullet"/>
        <w:spacing w:after="60" w:line="276" w:lineRule="auto"/>
      </w:pPr>
      <w:r>
        <w:rPr>
          <w:rFonts w:ascii="Calibri" w:hAnsi="Calibri"/>
          <w:b/>
          <w:color w:val="1E1E1E"/>
          <w:sz w:val="21"/>
        </w:rPr>
        <w:t xml:space="preserve">Semantic Versioning: </w:t>
      </w:r>
      <w:r>
        <w:rPr>
          <w:rFonts w:ascii="Calibri" w:hAnsi="Calibri"/>
          <w:color w:val="282828"/>
          <w:sz w:val="21"/>
        </w:rPr>
        <w:t>Version Control &amp; Releases: Semantic Versioning (SemVer 2.0.0) format (vMAJOR.MINOR.PATCH) is enforced (e.g., v1.0.0 Initial Capstone Release). Git commit messages follow Conventional Commits (feat:, fix:, docs:, refactor:, chore:).</w:t>
      </w:r>
    </w:p>
    <w:p>
      <w:pPr>
        <w:pStyle w:val="ListBullet"/>
        <w:spacing w:after="60" w:line="276" w:lineRule="auto"/>
      </w:pPr>
      <w:r>
        <w:rPr>
          <w:rFonts w:ascii="Calibri" w:hAnsi="Calibri"/>
          <w:b/>
          <w:color w:val="1E1E1E"/>
          <w:sz w:val="21"/>
        </w:rPr>
        <w:t xml:space="preserve">Feature Flags: </w:t>
      </w:r>
      <w:r>
        <w:rPr>
          <w:rFonts w:ascii="Calibri" w:hAnsi="Calibri"/>
          <w:color w:val="282828"/>
          <w:sz w:val="21"/>
        </w:rPr>
        <w:t>Feature &amp; Environment Flags: Runtime flags (e.g., FEATURE_AI_VOLUNTEER_MATCHING=true, MAINTENANCE_MODE=false) dictate module behavior without code modifications.</w:t>
      </w:r>
    </w:p>
    <w:p>
      <w:pPr>
        <w:pStyle w:val="Heading2"/>
        <w:spacing w:before="240" w:after="80"/>
      </w:pPr>
      <w:r>
        <w:rPr>
          <w:rFonts w:ascii="Calibri" w:hAnsi="Calibri"/>
          <w:b/>
          <w:color w:val="2E75B6"/>
          <w:sz w:val="26"/>
        </w:rPr>
        <w:t>4.2.7. Deployment Standards</w:t>
      </w:r>
    </w:p>
    <w:p>
      <w:pPr>
        <w:spacing w:after="80" w:line="276" w:lineRule="auto"/>
      </w:pPr>
      <w:r>
        <w:rPr>
          <w:rFonts w:ascii="Calibri" w:hAnsi="Calibri"/>
          <w:b/>
          <w:color w:val="1E1E1E"/>
          <w:sz w:val="21"/>
        </w:rPr>
        <w:t xml:space="preserve">Environments: </w:t>
      </w:r>
      <w:r>
        <w:rPr>
          <w:rFonts w:ascii="Calibri" w:hAnsi="Calibri"/>
          <w:i w:val="0"/>
          <w:color w:val="282828"/>
          <w:sz w:val="21"/>
        </w:rPr>
        <w:t>Deployment Environments: 1) Development (Local machine localhost:5173 / localhost:8000) for rapid feature iteration; 2) UAT (Staging on Vercel and Render) for validation by Rise Above Foundation Cebu staff and SWU faculty panelists; and 3) Production (Vercel Global CDN + Render Docker + TiDB Cloud Serverless) for live humanitarian operations.</w:t>
      </w:r>
    </w:p>
    <w:p>
      <w:pPr>
        <w:spacing w:after="80" w:line="276" w:lineRule="auto"/>
      </w:pPr>
      <w:r>
        <w:rPr>
          <w:rFonts w:ascii="Calibri" w:hAnsi="Calibri"/>
          <w:b/>
          <w:color w:val="1E1E1E"/>
          <w:sz w:val="21"/>
        </w:rPr>
        <w:t xml:space="preserve">Pipeline: </w:t>
      </w:r>
      <w:r>
        <w:rPr>
          <w:rFonts w:ascii="Calibri" w:hAnsi="Calibri"/>
          <w:i w:val="0"/>
          <w:color w:val="282828"/>
          <w:sz w:val="21"/>
        </w:rPr>
        <w:t>CI/CD Deployment Process &amp; Pipeline:</w:t>
      </w:r>
    </w:p>
    <w:p>
      <w:pPr>
        <w:pStyle w:val="ListBullet"/>
        <w:spacing w:after="60" w:line="276" w:lineRule="auto"/>
      </w:pPr>
      <w:r>
        <w:rPr>
          <w:rFonts w:ascii="Calibri" w:hAnsi="Calibri"/>
          <w:b/>
          <w:color w:val="1E1E1E"/>
          <w:sz w:val="21"/>
        </w:rPr>
        <w:t xml:space="preserve">Step 1: </w:t>
      </w:r>
      <w:r>
        <w:rPr>
          <w:rFonts w:ascii="Calibri" w:hAnsi="Calibri"/>
          <w:color w:val="282828"/>
          <w:sz w:val="21"/>
        </w:rPr>
        <w:t>1. Code Commit: Developer pushes feature commits to GitHub repository branches.</w:t>
      </w:r>
    </w:p>
    <w:p>
      <w:pPr>
        <w:pStyle w:val="ListBullet"/>
        <w:spacing w:after="60" w:line="276" w:lineRule="auto"/>
      </w:pPr>
      <w:r>
        <w:rPr>
          <w:rFonts w:ascii="Calibri" w:hAnsi="Calibri"/>
          <w:b/>
          <w:color w:val="1E1E1E"/>
          <w:sz w:val="21"/>
        </w:rPr>
        <w:t xml:space="preserve">Step 2: </w:t>
      </w:r>
      <w:r>
        <w:rPr>
          <w:rFonts w:ascii="Calibri" w:hAnsi="Calibri"/>
          <w:color w:val="282828"/>
          <w:sz w:val="21"/>
        </w:rPr>
        <w:t>2. Automated Trigger: GitHub webhook notifies Render and Vercel build pipelines.</w:t>
      </w:r>
    </w:p>
    <w:p>
      <w:pPr>
        <w:pStyle w:val="ListBullet"/>
        <w:spacing w:after="60" w:line="276" w:lineRule="auto"/>
      </w:pPr>
      <w:r>
        <w:rPr>
          <w:rFonts w:ascii="Calibri" w:hAnsi="Calibri"/>
          <w:b/>
          <w:color w:val="1E1E1E"/>
          <w:sz w:val="21"/>
        </w:rPr>
        <w:t xml:space="preserve">Step 3: </w:t>
      </w:r>
      <w:r>
        <w:rPr>
          <w:rFonts w:ascii="Calibri" w:hAnsi="Calibri"/>
          <w:color w:val="282828"/>
          <w:sz w:val="21"/>
        </w:rPr>
        <w:t>3. Build &amp; Test: Vercel executes 'npm run build' (Vite bundle optimization and lint validation); Render builds Docker container with PHP 8.2 and Apache.</w:t>
      </w:r>
    </w:p>
    <w:p>
      <w:pPr>
        <w:pStyle w:val="ListBullet"/>
        <w:spacing w:after="60" w:line="276" w:lineRule="auto"/>
      </w:pPr>
      <w:r>
        <w:rPr>
          <w:rFonts w:ascii="Calibri" w:hAnsi="Calibri"/>
          <w:b/>
          <w:color w:val="1E1E1E"/>
          <w:sz w:val="21"/>
        </w:rPr>
        <w:t xml:space="preserve">Step 4: </w:t>
      </w:r>
      <w:r>
        <w:rPr>
          <w:rFonts w:ascii="Calibri" w:hAnsi="Calibri"/>
          <w:color w:val="282828"/>
          <w:sz w:val="21"/>
        </w:rPr>
        <w:t>4. Health Check Verification: Render verifies zero-downtime container readiness at /api/health.php before shifting live traffic.</w:t>
      </w:r>
    </w:p>
    <w:p>
      <w:pPr>
        <w:pStyle w:val="ListBullet"/>
        <w:spacing w:after="60" w:line="276" w:lineRule="auto"/>
      </w:pPr>
      <w:r>
        <w:rPr>
          <w:rFonts w:ascii="Calibri" w:hAnsi="Calibri"/>
          <w:b/>
          <w:color w:val="1E1E1E"/>
          <w:sz w:val="21"/>
        </w:rPr>
        <w:t xml:space="preserve">Step 5: </w:t>
      </w:r>
      <w:r>
        <w:rPr>
          <w:rFonts w:ascii="Calibri" w:hAnsi="Calibri"/>
          <w:color w:val="282828"/>
          <w:sz w:val="21"/>
        </w:rPr>
        <w:t>5. Database Migrations: Schema modifications are applied using transaction-safe migration scripts against TiDB Cloud.</w:t>
      </w:r>
    </w:p>
    <w:p>
      <w:pPr>
        <w:spacing w:after="80" w:line="276" w:lineRule="auto"/>
      </w:pPr>
      <w:r>
        <w:rPr>
          <w:rFonts w:ascii="Calibri" w:hAnsi="Calibri"/>
          <w:b/>
          <w:color w:val="1E1E1E"/>
          <w:sz w:val="21"/>
        </w:rPr>
        <w:t xml:space="preserve">Branching Strategy: </w:t>
      </w:r>
      <w:r>
        <w:rPr>
          <w:rFonts w:ascii="Calibri" w:hAnsi="Calibri"/>
          <w:i w:val="0"/>
          <w:color w:val="282828"/>
          <w:sz w:val="21"/>
        </w:rPr>
        <w:t>Branching Strategy: A structured GitFlow model is implemented:</w:t>
      </w:r>
    </w:p>
    <w:p>
      <w:pPr>
        <w:pStyle w:val="ListBullet"/>
        <w:spacing w:after="60" w:line="276" w:lineRule="auto"/>
      </w:pPr>
      <w:r>
        <w:rPr>
          <w:rFonts w:ascii="Calibri" w:hAnsi="Calibri"/>
          <w:b/>
          <w:color w:val="1E1E1E"/>
          <w:sz w:val="21"/>
        </w:rPr>
        <w:t xml:space="preserve">Features: </w:t>
      </w:r>
      <w:r>
        <w:rPr>
          <w:rFonts w:ascii="Calibri" w:hAnsi="Calibri"/>
          <w:color w:val="282828"/>
          <w:sz w:val="21"/>
        </w:rPr>
        <w:t>feature/*: Short-lived feature branches branched from develop.</w:t>
      </w:r>
    </w:p>
    <w:p>
      <w:pPr>
        <w:pStyle w:val="ListBullet"/>
        <w:spacing w:after="60" w:line="276" w:lineRule="auto"/>
      </w:pPr>
      <w:r>
        <w:rPr>
          <w:rFonts w:ascii="Calibri" w:hAnsi="Calibri"/>
          <w:b/>
          <w:color w:val="1E1E1E"/>
          <w:sz w:val="21"/>
        </w:rPr>
        <w:t xml:space="preserve">Develop: </w:t>
      </w:r>
      <w:r>
        <w:rPr>
          <w:rFonts w:ascii="Calibri" w:hAnsi="Calibri"/>
          <w:color w:val="282828"/>
          <w:sz w:val="21"/>
        </w:rPr>
        <w:t>develop: Integration branch continuously deployed to the UAT / Staging environment.</w:t>
      </w:r>
    </w:p>
    <w:p>
      <w:pPr>
        <w:pStyle w:val="ListBullet"/>
        <w:spacing w:after="60" w:line="276" w:lineRule="auto"/>
      </w:pPr>
      <w:r>
        <w:rPr>
          <w:rFonts w:ascii="Calibri" w:hAnsi="Calibri"/>
          <w:b/>
          <w:color w:val="1E1E1E"/>
          <w:sz w:val="21"/>
        </w:rPr>
        <w:t xml:space="preserve">Main: </w:t>
      </w:r>
      <w:r>
        <w:rPr>
          <w:rFonts w:ascii="Calibri" w:hAnsi="Calibri"/>
          <w:color w:val="282828"/>
          <w:sz w:val="21"/>
        </w:rPr>
        <w:t>main: Production-ready protected branch. Pushing or merging directly to main is restricted.</w:t>
      </w:r>
    </w:p>
    <w:p>
      <w:pPr>
        <w:pStyle w:val="ListBullet"/>
        <w:spacing w:after="60" w:line="276" w:lineRule="auto"/>
      </w:pPr>
      <w:r>
        <w:rPr>
          <w:rFonts w:ascii="Calibri" w:hAnsi="Calibri"/>
          <w:b/>
          <w:color w:val="1E1E1E"/>
          <w:sz w:val="21"/>
        </w:rPr>
        <w:t xml:space="preserve">Hotfix: </w:t>
      </w:r>
      <w:r>
        <w:rPr>
          <w:rFonts w:ascii="Calibri" w:hAnsi="Calibri"/>
          <w:color w:val="282828"/>
          <w:sz w:val="21"/>
        </w:rPr>
        <w:t>hotfix/*: Emergency patches branched from main and back-merged to develop.</w:t>
      </w:r>
    </w:p>
    <w:p>
      <w:pPr>
        <w:spacing w:after="80" w:line="276" w:lineRule="auto"/>
      </w:pPr>
      <w:r>
        <w:rPr>
          <w:rFonts w:ascii="Calibri" w:hAnsi="Calibri"/>
          <w:b/>
          <w:color w:val="1E1E1E"/>
          <w:sz w:val="21"/>
        </w:rPr>
        <w:t xml:space="preserve">Approvals: </w:t>
      </w:r>
      <w:r>
        <w:rPr>
          <w:rFonts w:ascii="Calibri" w:hAnsi="Calibri"/>
          <w:i w:val="0"/>
          <w:color w:val="282828"/>
          <w:sz w:val="21"/>
        </w:rPr>
        <w:t>Approval &amp; Review Requirements: Merging into main requires a formal Pull Request (PR) with at least two peer reviews from capstone project members and validation that automated build checks succeed. Final approval is signed off by the Lead Developer.</w:t>
      </w:r>
    </w:p>
    <w:p>
      <w:pPr>
        <w:spacing w:after="80" w:line="276" w:lineRule="auto"/>
      </w:pPr>
      <w:r>
        <w:rPr>
          <w:rFonts w:ascii="Calibri" w:hAnsi="Calibri"/>
          <w:b/>
          <w:color w:val="1E1E1E"/>
          <w:sz w:val="21"/>
        </w:rPr>
        <w:t xml:space="preserve">Rollback Procedures: </w:t>
      </w:r>
      <w:r>
        <w:rPr>
          <w:rFonts w:ascii="Calibri" w:hAnsi="Calibri"/>
          <w:i w:val="0"/>
          <w:color w:val="282828"/>
          <w:sz w:val="21"/>
        </w:rPr>
        <w:t>Rollback Procedures:</w:t>
      </w:r>
    </w:p>
    <w:p>
      <w:pPr>
        <w:pStyle w:val="ListBullet"/>
        <w:spacing w:after="60" w:line="276" w:lineRule="auto"/>
      </w:pPr>
      <w:r>
        <w:rPr>
          <w:rFonts w:ascii="Calibri" w:hAnsi="Calibri"/>
          <w:b/>
          <w:color w:val="1E1E1E"/>
          <w:sz w:val="21"/>
        </w:rPr>
        <w:t xml:space="preserve">Frontend: </w:t>
      </w:r>
      <w:r>
        <w:rPr>
          <w:rFonts w:ascii="Calibri" w:hAnsi="Calibri"/>
          <w:color w:val="282828"/>
          <w:sz w:val="21"/>
        </w:rPr>
        <w:t>Frontend Instant Rollback (Vercel): Access Vercel Dashboard -&gt; Deployments -&gt; locate previous verified deployment -&gt; click 'Rollback to this Deployment'. Rollback executes instantaneously within 15 seconds.</w:t>
      </w:r>
    </w:p>
    <w:p>
      <w:pPr>
        <w:pStyle w:val="ListBullet"/>
        <w:spacing w:after="60" w:line="276" w:lineRule="auto"/>
      </w:pPr>
      <w:r>
        <w:rPr>
          <w:rFonts w:ascii="Calibri" w:hAnsi="Calibri"/>
          <w:b/>
          <w:color w:val="1E1E1E"/>
          <w:sz w:val="21"/>
        </w:rPr>
        <w:t xml:space="preserve">Backend: </w:t>
      </w:r>
      <w:r>
        <w:rPr>
          <w:rFonts w:ascii="Calibri" w:hAnsi="Calibri"/>
          <w:color w:val="282828"/>
          <w:sz w:val="21"/>
        </w:rPr>
        <w:t>Backend Rollback (Render): Access Render Dashboard -&gt; Service Activity -&gt; select prior working Docker image build -&gt; trigger redeploy.</w:t>
      </w:r>
    </w:p>
    <w:p>
      <w:pPr>
        <w:pStyle w:val="ListBullet"/>
        <w:spacing w:after="60" w:line="276" w:lineRule="auto"/>
      </w:pPr>
      <w:r>
        <w:rPr>
          <w:rFonts w:ascii="Calibri" w:hAnsi="Calibri"/>
          <w:b/>
          <w:color w:val="1E1E1E"/>
          <w:sz w:val="21"/>
        </w:rPr>
        <w:t xml:space="preserve">Database: </w:t>
      </w:r>
      <w:r>
        <w:rPr>
          <w:rFonts w:ascii="Calibri" w:hAnsi="Calibri"/>
          <w:color w:val="282828"/>
          <w:sz w:val="21"/>
        </w:rPr>
        <w:t>Database Rollback (TiDB Cloud): Point-In-Time Recovery (PITR) snapshots allow restoring the database state to any exact second prior to the failed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