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FCA3A2" w14:textId="4A781C71" w:rsidR="007622CD" w:rsidRDefault="002B31CE" w:rsidP="007622CD">
      <w:pPr>
        <w:jc w:val="center"/>
      </w:pPr>
      <w:r>
        <w:t xml:space="preserve">Lab </w:t>
      </w:r>
      <w:r w:rsidR="004A3E57">
        <w:t>H</w:t>
      </w:r>
      <w:r>
        <w:t xml:space="preserve">: </w:t>
      </w:r>
      <w:r w:rsidR="004A3E57">
        <w:t>Explore Cloud Migration Frameworks</w:t>
      </w:r>
    </w:p>
    <w:p w14:paraId="3FA03F77" w14:textId="037E571D" w:rsidR="00DD21A0" w:rsidRPr="00D076D3" w:rsidRDefault="00DD21A0" w:rsidP="00D076D3">
      <w:pPr>
        <w:rPr>
          <w:b/>
          <w:bCs/>
        </w:rPr>
      </w:pPr>
      <w:r w:rsidRPr="00D076D3">
        <w:rPr>
          <w:b/>
          <w:bCs/>
        </w:rPr>
        <w:t>Migration Strategy: Selecting the “R”</w:t>
      </w:r>
      <w:r w:rsidR="00D076D3">
        <w:rPr>
          <w:b/>
          <w:bCs/>
        </w:rPr>
        <w:t>:</w:t>
      </w:r>
    </w:p>
    <w:p w14:paraId="3B402C05" w14:textId="3433A7CA" w:rsidR="00DD21A0" w:rsidRDefault="00DD21A0" w:rsidP="00214E61">
      <w:pPr>
        <w:ind w:left="360"/>
      </w:pPr>
      <w:r>
        <w:t>This migration is best classified as Repurchase. Since the agency is replacing a custom, on-premises ERP with a modern commercial ERP platform: Odoo. In the Six Rs model</w:t>
      </w:r>
      <w:r w:rsidR="00B25757">
        <w:t xml:space="preserve">, repurchase means replacing an existing application with a purchased product or SaaS offering. We want to move our old ERP to take advantage of the SaaS that Odoo has available. If we were to rehost it would not solve the custom-code and maintenance burden. </w:t>
      </w:r>
      <w:proofErr w:type="spellStart"/>
      <w:r w:rsidR="00B25757">
        <w:t>Replatform</w:t>
      </w:r>
      <w:proofErr w:type="spellEnd"/>
      <w:r w:rsidR="00B25757">
        <w:t xml:space="preserve"> would modernize some infrastructure but keep the old ERP architecture. Refactor/Rearchitect would require rebuilding the ERP which is expensive and too risky for a government agency. Retire would only apply to unused reports, modules, and integrations. Retain may apply temporarily to legal archives or specialized legacy functions that cannot move immediately.</w:t>
      </w:r>
    </w:p>
    <w:p w14:paraId="1410EDF9" w14:textId="672564BE" w:rsidR="00B25757" w:rsidRDefault="00B25757" w:rsidP="00214E61">
      <w:pPr>
        <w:ind w:left="360"/>
      </w:pPr>
      <w:r>
        <w:t>Odoo has features of staging, CI, SSH access, and module dependency support with Oracle so we can modernize most things if not everything. Large imports may need to be split into smaller batches to avoid timeout or processing failures, but it should be a relatively painless process.</w:t>
      </w:r>
    </w:p>
    <w:p w14:paraId="4CBDEC34" w14:textId="20E0A24B" w:rsidR="00DD21A0" w:rsidRPr="00D076D3" w:rsidRDefault="00DD21A0" w:rsidP="00D076D3">
      <w:pPr>
        <w:rPr>
          <w:b/>
          <w:bCs/>
        </w:rPr>
      </w:pPr>
      <w:r w:rsidRPr="00D076D3">
        <w:rPr>
          <w:b/>
          <w:bCs/>
        </w:rPr>
        <w:t>TECHXDS Five-Phase Migration Checklist</w:t>
      </w:r>
      <w:r w:rsidR="00D076D3">
        <w:rPr>
          <w:b/>
          <w:bCs/>
        </w:rPr>
        <w:t>:</w:t>
      </w:r>
    </w:p>
    <w:p w14:paraId="4A2DAB02" w14:textId="74C8A11F" w:rsidR="00ED6FDD" w:rsidRDefault="00ED6FDD" w:rsidP="00214E61">
      <w:pPr>
        <w:pStyle w:val="ListParagraph"/>
        <w:ind w:left="360"/>
      </w:pPr>
      <w:r>
        <w:t>Phase 1: Map &amp; Match</w:t>
      </w:r>
    </w:p>
    <w:p w14:paraId="2DB97E90" w14:textId="5D70D621" w:rsidR="009449AA" w:rsidRDefault="009449AA" w:rsidP="00214E61">
      <w:pPr>
        <w:pStyle w:val="ListParagraph"/>
        <w:numPr>
          <w:ilvl w:val="1"/>
          <w:numId w:val="1"/>
        </w:numPr>
        <w:ind w:left="1080"/>
      </w:pPr>
      <w:r w:rsidRPr="00A65A16">
        <w:rPr>
          <w:b/>
          <w:bCs/>
        </w:rPr>
        <w:t>Create a full legacy ERP inventory</w:t>
      </w:r>
      <w:r>
        <w:t>: Document all modules, custom add-ins, Oracle tables, stored procedures, reports, workflows, batch jobs, APIs, file transfers, authentication methods, and third-party integrations</w:t>
      </w:r>
      <w:r w:rsidR="00A65A16">
        <w:t>.</w:t>
      </w:r>
    </w:p>
    <w:p w14:paraId="00285FA1" w14:textId="598D8173" w:rsidR="009449AA" w:rsidRDefault="00A65A16" w:rsidP="00214E61">
      <w:pPr>
        <w:pStyle w:val="ListParagraph"/>
        <w:numPr>
          <w:ilvl w:val="1"/>
          <w:numId w:val="1"/>
        </w:numPr>
        <w:ind w:left="1080"/>
      </w:pPr>
      <w:r w:rsidRPr="00A65A16">
        <w:rPr>
          <w:b/>
          <w:bCs/>
        </w:rPr>
        <w:t>Map business capabilities to Odoo modules</w:t>
      </w:r>
      <w:r>
        <w:t xml:space="preserve">: </w:t>
      </w:r>
      <w:r w:rsidRPr="00A65A16">
        <w:t>Match accounting, procurement, HR, payroll-adjacent processes, inventory, approvals, budgeting, reporting, and sub-agency workflows to Odoo modules. Identify where Odoo configuration is enough and where custom modules are required.</w:t>
      </w:r>
    </w:p>
    <w:p w14:paraId="78351533" w14:textId="40375CC8" w:rsidR="00A65A16" w:rsidRPr="00A65A16" w:rsidRDefault="00A65A16" w:rsidP="00214E61">
      <w:pPr>
        <w:pStyle w:val="ListParagraph"/>
        <w:numPr>
          <w:ilvl w:val="1"/>
          <w:numId w:val="1"/>
        </w:numPr>
        <w:ind w:left="1080"/>
      </w:pPr>
      <w:r w:rsidRPr="00A65A16">
        <w:rPr>
          <w:b/>
          <w:bCs/>
        </w:rPr>
        <w:t>Classify legacy components as migrate, retire, retain, or replace</w:t>
      </w:r>
      <w:r>
        <w:t>:</w:t>
      </w:r>
      <w:r w:rsidRPr="00A65A16">
        <w:t xml:space="preserve"> </w:t>
      </w:r>
      <w:r w:rsidRPr="00A65A16">
        <w:t>Not every custom add-in should be rebuilt. Retire duplicate reports, obsolete workflows, unused tables, and old integrations. Retain only legally required historical access or functions not supported by the first Odoo release.</w:t>
      </w:r>
    </w:p>
    <w:p w14:paraId="7478DE34" w14:textId="4B971507" w:rsidR="00A65A16" w:rsidRDefault="00A65A16" w:rsidP="00214E61">
      <w:pPr>
        <w:pStyle w:val="ListParagraph"/>
        <w:numPr>
          <w:ilvl w:val="1"/>
          <w:numId w:val="1"/>
        </w:numPr>
        <w:ind w:left="1080"/>
      </w:pPr>
      <w:r w:rsidRPr="00A65A16">
        <w:rPr>
          <w:b/>
        </w:rPr>
        <w:t>Profile and classify source data</w:t>
      </w:r>
      <w:r>
        <w:t>: Identify master data, transactional data, attachments, audit logs, historical records, active workflows, user accounts, roles, chart of accounts, HR records, vendor data, grant/fund data, and reporting datasets.</w:t>
      </w:r>
    </w:p>
    <w:p w14:paraId="31AE945D" w14:textId="77777777" w:rsidR="00A65A16" w:rsidRPr="00A65A16" w:rsidRDefault="00A65A16" w:rsidP="00214E61">
      <w:pPr>
        <w:pStyle w:val="ListParagraph"/>
        <w:numPr>
          <w:ilvl w:val="1"/>
          <w:numId w:val="1"/>
        </w:numPr>
        <w:ind w:left="1080"/>
        <w:rPr>
          <w:bCs/>
        </w:rPr>
      </w:pPr>
      <w:r>
        <w:rPr>
          <w:b/>
        </w:rPr>
        <w:t>Document source file formats and compatibility needs</w:t>
      </w:r>
      <w:r>
        <w:rPr>
          <w:bCs/>
        </w:rPr>
        <w:t xml:space="preserve">: </w:t>
      </w:r>
      <w:r w:rsidRPr="00A65A16">
        <w:rPr>
          <w:bCs/>
        </w:rPr>
        <w:t xml:space="preserve">Legacy Oracle exports may appear as SQL dumps, CSV, fixed-width files, XML, JSON, Excel, </w:t>
      </w:r>
      <w:r w:rsidRPr="00A65A16">
        <w:rPr>
          <w:bCs/>
        </w:rPr>
        <w:lastRenderedPageBreak/>
        <w:t>PDFs, attachments, or flat files generated by batch jobs. Odoo’s standard import process commonly uses CSV and Excel-style import templates, so the migration team should convert non-compatible exports into clean CSV/XLSX files or load them through APIs/custom scripts when needed. Odoo documentation notes that data can be exported/imported and that large files should be processed in smaller batches.</w:t>
      </w:r>
    </w:p>
    <w:p w14:paraId="7FB6520A" w14:textId="77777777" w:rsidR="00ED6FDD" w:rsidRPr="00ED6FDD" w:rsidRDefault="00A65A16" w:rsidP="00214E61">
      <w:pPr>
        <w:pStyle w:val="ListParagraph"/>
        <w:numPr>
          <w:ilvl w:val="1"/>
          <w:numId w:val="1"/>
        </w:numPr>
        <w:ind w:left="1080"/>
      </w:pPr>
      <w:r>
        <w:rPr>
          <w:b/>
          <w:bCs/>
        </w:rPr>
        <w:t>Access data residency and records retention requirements</w:t>
      </w:r>
      <w:r>
        <w:t xml:space="preserve">: </w:t>
      </w:r>
      <w:r w:rsidR="00ED6FDD" w:rsidRPr="00ED6FDD">
        <w:t>Because this is a government agency, the team must confirm whether ERP data must remain in a specific country, region, or government-approved cloud environment. Odoo.sh currently lists hosting zones including the United States, Canada, Belgium, Saudi Arabia, India, Singapore, and Australia, and notes that the underlying hosting locations are subject to change without notice.</w:t>
      </w:r>
    </w:p>
    <w:p w14:paraId="5F94A872" w14:textId="6016AB0C" w:rsidR="00A65A16" w:rsidRDefault="00ED6FDD" w:rsidP="00214E61">
      <w:pPr>
        <w:ind w:left="355"/>
      </w:pPr>
      <w:r>
        <w:t>Phase 2: Activate &amp; Ascend</w:t>
      </w:r>
    </w:p>
    <w:p w14:paraId="799C7E71" w14:textId="77777777" w:rsidR="0058213E" w:rsidRPr="0058213E" w:rsidRDefault="0058213E" w:rsidP="00214E61">
      <w:pPr>
        <w:pStyle w:val="ListParagraph"/>
        <w:numPr>
          <w:ilvl w:val="0"/>
          <w:numId w:val="4"/>
        </w:numPr>
        <w:ind w:left="1075"/>
      </w:pPr>
      <w:r>
        <w:rPr>
          <w:b/>
          <w:bCs/>
        </w:rPr>
        <w:t>Provision the Odoo environment</w:t>
      </w:r>
      <w:r>
        <w:t xml:space="preserve">: </w:t>
      </w:r>
      <w:r w:rsidRPr="0058213E">
        <w:t>Set up production, staging, test, and training environments. If using Odoo.sh, use staging branches to test new features with real or masked data. Odoo.sh provides staging servers, automated testing, database replication, and backups.</w:t>
      </w:r>
    </w:p>
    <w:p w14:paraId="77E591E5" w14:textId="77777777" w:rsidR="0058213E" w:rsidRPr="0058213E" w:rsidRDefault="0058213E" w:rsidP="00214E61">
      <w:pPr>
        <w:pStyle w:val="ListParagraph"/>
        <w:numPr>
          <w:ilvl w:val="0"/>
          <w:numId w:val="4"/>
        </w:numPr>
        <w:ind w:left="1075"/>
      </w:pPr>
      <w:r w:rsidRPr="0058213E">
        <w:rPr>
          <w:b/>
          <w:bCs/>
        </w:rPr>
        <w:t>Build only necessary customizations</w:t>
      </w:r>
      <w:r>
        <w:t xml:space="preserve">: </w:t>
      </w:r>
      <w:r w:rsidRPr="0058213E">
        <w:t>Replace legacy custom add-ins with Odoo-native configuration where possible. Custom modules should be reserved for statutory requirements, agency-specific approval chains, unique fund accounting logic, or integrations that cannot be handled through configuration.</w:t>
      </w:r>
    </w:p>
    <w:p w14:paraId="5E38863D" w14:textId="46ABAE8B" w:rsidR="0058213E" w:rsidRPr="0058213E" w:rsidRDefault="0058213E" w:rsidP="00214E61">
      <w:pPr>
        <w:pStyle w:val="ListParagraph"/>
        <w:numPr>
          <w:ilvl w:val="0"/>
          <w:numId w:val="4"/>
        </w:numPr>
        <w:ind w:left="1075"/>
      </w:pPr>
      <w:r w:rsidRPr="0058213E">
        <w:rPr>
          <w:b/>
          <w:bCs/>
        </w:rPr>
        <w:t>Create migrations scrips and reusable import templates</w:t>
      </w:r>
      <w:r>
        <w:t>:</w:t>
      </w:r>
      <w:r w:rsidRPr="0058213E">
        <w:rPr>
          <w:rFonts w:ascii="Times New Roman" w:eastAsia="Times New Roman" w:hAnsi="Times New Roman" w:cs="Times New Roman"/>
          <w:kern w:val="0"/>
          <w14:ligatures w14:val="none"/>
        </w:rPr>
        <w:t xml:space="preserve"> </w:t>
      </w:r>
      <w:r w:rsidRPr="0058213E">
        <w:t>Build extract-transform-load scripts that convert Oracle exports and other legacy formats into Odoo-ready CSV/XLSX/API payloads. Each migration script should produce validation logs, error files, row counts, hash totals, and exception reports.</w:t>
      </w:r>
    </w:p>
    <w:p w14:paraId="08B135BD" w14:textId="77777777" w:rsidR="0058213E" w:rsidRPr="0058213E" w:rsidRDefault="0058213E" w:rsidP="00214E61">
      <w:pPr>
        <w:pStyle w:val="ListParagraph"/>
        <w:numPr>
          <w:ilvl w:val="0"/>
          <w:numId w:val="4"/>
        </w:numPr>
        <w:ind w:left="1075"/>
      </w:pPr>
      <w:r>
        <w:rPr>
          <w:b/>
          <w:bCs/>
        </w:rPr>
        <w:t>Run configuration walkthroughs with business owners</w:t>
      </w:r>
      <w:r>
        <w:t xml:space="preserve">: </w:t>
      </w:r>
      <w:r w:rsidRPr="0058213E">
        <w:t>Validate workflows with accounting, HR, procurement, IT, compliance, security, and sub-agency representatives before any production load.</w:t>
      </w:r>
    </w:p>
    <w:p w14:paraId="5EF0A8E1" w14:textId="40E12F75" w:rsidR="00ED6FDD" w:rsidRDefault="0058213E" w:rsidP="00214E61">
      <w:pPr>
        <w:ind w:left="355"/>
      </w:pPr>
      <w:r>
        <w:t>Phase 3: Files in Flight</w:t>
      </w:r>
    </w:p>
    <w:p w14:paraId="60DF0A78" w14:textId="77777777" w:rsidR="00174B23" w:rsidRPr="00174B23" w:rsidRDefault="00174B23" w:rsidP="00214E61">
      <w:pPr>
        <w:pStyle w:val="ListParagraph"/>
        <w:numPr>
          <w:ilvl w:val="0"/>
          <w:numId w:val="9"/>
        </w:numPr>
        <w:ind w:left="1075"/>
      </w:pPr>
      <w:r w:rsidRPr="00174B23">
        <w:rPr>
          <w:b/>
          <w:bCs/>
        </w:rPr>
        <w:t>Perform trial migrations using production-like data</w:t>
      </w:r>
      <w:r>
        <w:t xml:space="preserve">: </w:t>
      </w:r>
      <w:r w:rsidRPr="00174B23">
        <w:t>Run multiple test migrations into staging. Compare record counts, financial balances, employee/vendor records, open transactions, attachments, and workflow states against the legacy ERP.</w:t>
      </w:r>
    </w:p>
    <w:p w14:paraId="1A6D60AF" w14:textId="188E9B2D" w:rsidR="00174B23" w:rsidRPr="00174B23" w:rsidRDefault="00174B23" w:rsidP="00214E61">
      <w:pPr>
        <w:pStyle w:val="ListParagraph"/>
        <w:numPr>
          <w:ilvl w:val="0"/>
          <w:numId w:val="9"/>
        </w:numPr>
        <w:ind w:left="1075"/>
      </w:pPr>
      <w:r w:rsidRPr="00174B23">
        <w:rPr>
          <w:b/>
          <w:bCs/>
        </w:rPr>
        <w:t>Clean and transform data before final load</w:t>
      </w:r>
      <w:r>
        <w:t xml:space="preserve">: </w:t>
      </w:r>
      <w:r w:rsidRPr="00174B23">
        <w:t>Standardize dates, currencies, department codes, vendor IDs, employee IDs, addresses, chart of accounts, cost centers, grant codes, approval statuses, and document metadata</w:t>
      </w:r>
      <w:r>
        <w:t>.</w:t>
      </w:r>
    </w:p>
    <w:p w14:paraId="28384151" w14:textId="77777777" w:rsidR="00174B23" w:rsidRPr="00174B23" w:rsidRDefault="00174B23" w:rsidP="00214E61">
      <w:pPr>
        <w:pStyle w:val="ListParagraph"/>
        <w:numPr>
          <w:ilvl w:val="0"/>
          <w:numId w:val="9"/>
        </w:numPr>
        <w:ind w:left="1075"/>
      </w:pPr>
      <w:r w:rsidRPr="00174B23">
        <w:rPr>
          <w:b/>
          <w:bCs/>
        </w:rPr>
        <w:lastRenderedPageBreak/>
        <w:t>Validate data integrity after each migration wave</w:t>
      </w:r>
      <w:r>
        <w:t xml:space="preserve">: </w:t>
      </w:r>
      <w:r w:rsidRPr="00174B23">
        <w:t>Reconcile row counts, control totals, financial balances, hash totals, sample records, required fields, foreign-key relationships, attachments, and user access rules.</w:t>
      </w:r>
    </w:p>
    <w:p w14:paraId="1AE27E5D" w14:textId="5B6CBDB1" w:rsidR="00174B23" w:rsidRPr="00174B23" w:rsidRDefault="00174B23" w:rsidP="00214E61">
      <w:pPr>
        <w:pStyle w:val="ListParagraph"/>
        <w:numPr>
          <w:ilvl w:val="0"/>
          <w:numId w:val="9"/>
        </w:numPr>
        <w:ind w:left="1075"/>
      </w:pPr>
      <w:r w:rsidRPr="00174B23">
        <w:rPr>
          <w:b/>
          <w:bCs/>
        </w:rPr>
        <w:t>Run final delta migrations</w:t>
      </w:r>
      <w:r>
        <w:t>:</w:t>
      </w:r>
      <w:r w:rsidRPr="00174B23">
        <w:rPr>
          <w:rFonts w:ascii="Times New Roman" w:eastAsia="Times New Roman" w:hAnsi="Times New Roman" w:cs="Times New Roman"/>
          <w:kern w:val="0"/>
          <w14:ligatures w14:val="none"/>
        </w:rPr>
        <w:t xml:space="preserve"> </w:t>
      </w:r>
      <w:r w:rsidRPr="00174B23">
        <w:t>Extract changes since the last trial migration, transform them, import them into Odoo, validate them, and lock the legacy ERP into read-only mode.</w:t>
      </w:r>
    </w:p>
    <w:p w14:paraId="3AEB2EBA" w14:textId="48D9C574" w:rsidR="0058213E" w:rsidRDefault="00174B23" w:rsidP="00214E61">
      <w:pPr>
        <w:ind w:left="355"/>
      </w:pPr>
      <w:r>
        <w:t>Phase 4: Touchdown &amp; Taxi</w:t>
      </w:r>
    </w:p>
    <w:p w14:paraId="079C4D8D" w14:textId="77777777" w:rsidR="00174B23" w:rsidRPr="00174B23" w:rsidRDefault="00174B23" w:rsidP="00214E61">
      <w:pPr>
        <w:pStyle w:val="ListParagraph"/>
        <w:numPr>
          <w:ilvl w:val="0"/>
          <w:numId w:val="14"/>
        </w:numPr>
        <w:ind w:left="1075"/>
      </w:pPr>
      <w:r w:rsidRPr="00174B23">
        <w:rPr>
          <w:b/>
          <w:bCs/>
        </w:rPr>
        <w:t>Execute a rehearsed cutover plan</w:t>
      </w:r>
      <w:r>
        <w:t xml:space="preserve">: </w:t>
      </w:r>
      <w:r w:rsidRPr="00174B23">
        <w:t>Follow a minute-by-minute cutover checklist covering final backup, final export, delta load, validation, DNS/routing changes if needed, user access enablement, integration switching, and go/no-go approval.</w:t>
      </w:r>
    </w:p>
    <w:p w14:paraId="0FF97D71" w14:textId="77777777" w:rsidR="00174B23" w:rsidRPr="00174B23" w:rsidRDefault="00174B23" w:rsidP="00214E61">
      <w:pPr>
        <w:pStyle w:val="ListParagraph"/>
        <w:numPr>
          <w:ilvl w:val="0"/>
          <w:numId w:val="14"/>
        </w:numPr>
        <w:ind w:left="1075"/>
      </w:pPr>
      <w:r w:rsidRPr="00174B23">
        <w:rPr>
          <w:b/>
          <w:bCs/>
        </w:rPr>
        <w:t>Keep the legacy ERP available in read-only mode</w:t>
      </w:r>
      <w:r>
        <w:t xml:space="preserve">: </w:t>
      </w:r>
      <w:r w:rsidRPr="00174B23">
        <w:t>This supports audit lookups, emergency comparison, and user confidence without allowing new transactions to be created in the old system.</w:t>
      </w:r>
    </w:p>
    <w:p w14:paraId="17C21AAA" w14:textId="77777777" w:rsidR="00174B23" w:rsidRPr="00174B23" w:rsidRDefault="00174B23" w:rsidP="00214E61">
      <w:pPr>
        <w:pStyle w:val="ListParagraph"/>
        <w:numPr>
          <w:ilvl w:val="0"/>
          <w:numId w:val="14"/>
        </w:numPr>
        <w:ind w:left="1075"/>
      </w:pPr>
      <w:r w:rsidRPr="00174B23">
        <w:rPr>
          <w:b/>
          <w:bCs/>
        </w:rPr>
        <w:t>Run parallel reconciliation for critical functions</w:t>
      </w:r>
      <w:r>
        <w:t xml:space="preserve">: </w:t>
      </w:r>
      <w:r w:rsidRPr="00174B23">
        <w:t>For an agreed period, compare Odoo results against legacy reports for general ledger balances, open invoices, purchase orders, vendor records, employee records, and budget/fund reports.</w:t>
      </w:r>
    </w:p>
    <w:p w14:paraId="07E33D08" w14:textId="77777777" w:rsidR="00174B23" w:rsidRPr="00174B23" w:rsidRDefault="00174B23" w:rsidP="00214E61">
      <w:pPr>
        <w:pStyle w:val="ListParagraph"/>
        <w:numPr>
          <w:ilvl w:val="0"/>
          <w:numId w:val="14"/>
        </w:numPr>
        <w:ind w:left="1075"/>
      </w:pPr>
      <w:r w:rsidRPr="00174B23">
        <w:rPr>
          <w:b/>
          <w:bCs/>
        </w:rPr>
        <w:t xml:space="preserve">Use rollback </w:t>
      </w:r>
      <w:proofErr w:type="gramStart"/>
      <w:r w:rsidRPr="00174B23">
        <w:rPr>
          <w:b/>
          <w:bCs/>
        </w:rPr>
        <w:t>criteria, but</w:t>
      </w:r>
      <w:proofErr w:type="gramEnd"/>
      <w:r w:rsidRPr="00174B23">
        <w:rPr>
          <w:b/>
          <w:bCs/>
        </w:rPr>
        <w:t xml:space="preserve"> avoid casual rollback</w:t>
      </w:r>
      <w:r>
        <w:t xml:space="preserve">: </w:t>
      </w:r>
      <w:r w:rsidRPr="00174B23">
        <w:t>Define measurable rollback triggers before go-live, such as unreconciled financial balances, inability to process payments, failed authentication, or major integration failure.</w:t>
      </w:r>
    </w:p>
    <w:p w14:paraId="66C9C5F0" w14:textId="796FEA15" w:rsidR="00174B23" w:rsidRDefault="00174B23" w:rsidP="00214E61">
      <w:pPr>
        <w:ind w:left="355"/>
      </w:pPr>
      <w:r>
        <w:t>Phase 5: Handover &amp; Hypercare</w:t>
      </w:r>
    </w:p>
    <w:p w14:paraId="4CECE5F8" w14:textId="77777777" w:rsidR="00174B23" w:rsidRPr="00174B23" w:rsidRDefault="00174B23" w:rsidP="00214E61">
      <w:pPr>
        <w:pStyle w:val="ListParagraph"/>
        <w:numPr>
          <w:ilvl w:val="0"/>
          <w:numId w:val="19"/>
        </w:numPr>
        <w:ind w:left="1075"/>
      </w:pPr>
      <w:r w:rsidRPr="00174B23">
        <w:rPr>
          <w:b/>
          <w:bCs/>
        </w:rPr>
        <w:t>Train super users and administrators</w:t>
      </w:r>
      <w:r>
        <w:t xml:space="preserve">: </w:t>
      </w:r>
      <w:r w:rsidRPr="00174B23">
        <w:t>Train agency power users on workflows, reporting, approval configuration, security roles, data correction procedures, and escalation paths.</w:t>
      </w:r>
    </w:p>
    <w:p w14:paraId="214AD38C" w14:textId="77777777" w:rsidR="00174B23" w:rsidRPr="00174B23" w:rsidRDefault="00174B23" w:rsidP="00214E61">
      <w:pPr>
        <w:pStyle w:val="ListParagraph"/>
        <w:numPr>
          <w:ilvl w:val="0"/>
          <w:numId w:val="19"/>
        </w:numPr>
        <w:ind w:left="1075"/>
      </w:pPr>
      <w:r w:rsidRPr="00174B23">
        <w:rPr>
          <w:b/>
          <w:bCs/>
        </w:rPr>
        <w:t>Transfer technical documentation</w:t>
      </w:r>
      <w:r>
        <w:t xml:space="preserve">: </w:t>
      </w:r>
      <w:r w:rsidRPr="00174B23">
        <w:t>Deliver architecture diagrams, integration specs, data mapping workbooks, migration logs, custom module documentation, test evidence, backup procedures, and disaster recovery procedures.</w:t>
      </w:r>
    </w:p>
    <w:p w14:paraId="02F0820F" w14:textId="77777777" w:rsidR="00174B23" w:rsidRPr="00174B23" w:rsidRDefault="00174B23" w:rsidP="00214E61">
      <w:pPr>
        <w:pStyle w:val="ListParagraph"/>
        <w:numPr>
          <w:ilvl w:val="0"/>
          <w:numId w:val="19"/>
        </w:numPr>
        <w:ind w:left="1075"/>
      </w:pPr>
      <w:r w:rsidRPr="00174B23">
        <w:rPr>
          <w:b/>
          <w:bCs/>
        </w:rPr>
        <w:t>Monitor performance and adoption</w:t>
      </w:r>
      <w:r>
        <w:t xml:space="preserve">: </w:t>
      </w:r>
      <w:r w:rsidRPr="00174B23">
        <w:t>Track login success, transaction volume, approval cycle time, help desk tickets, report usage, integration failures, and mobile workforce adoption.</w:t>
      </w:r>
    </w:p>
    <w:p w14:paraId="4C5D9387" w14:textId="77777777" w:rsidR="00174B23" w:rsidRPr="00174B23" w:rsidRDefault="00174B23" w:rsidP="00214E61">
      <w:pPr>
        <w:pStyle w:val="ListParagraph"/>
        <w:numPr>
          <w:ilvl w:val="0"/>
          <w:numId w:val="19"/>
        </w:numPr>
        <w:ind w:left="1075"/>
      </w:pPr>
      <w:r w:rsidRPr="00174B23">
        <w:rPr>
          <w:b/>
          <w:bCs/>
        </w:rPr>
        <w:t>Decommission legacy infrastructure in stages</w:t>
      </w:r>
      <w:r>
        <w:t xml:space="preserve">: </w:t>
      </w:r>
      <w:r w:rsidRPr="00174B23">
        <w:t>Keep the old ERP read-only during the retention period, export final archives, revoke write access, shut down unused integrations, retire servers, and update the configuration management database.</w:t>
      </w:r>
    </w:p>
    <w:p w14:paraId="64E97F62" w14:textId="6EB003DE" w:rsidR="00174B23" w:rsidRPr="00D076D3" w:rsidRDefault="00214E61" w:rsidP="00174B23">
      <w:pPr>
        <w:rPr>
          <w:b/>
          <w:bCs/>
        </w:rPr>
      </w:pPr>
      <w:r w:rsidRPr="00D076D3">
        <w:rPr>
          <w:b/>
          <w:bCs/>
        </w:rPr>
        <w:lastRenderedPageBreak/>
        <w:t>Migration Success Factors</w:t>
      </w:r>
      <w:r w:rsidR="00D076D3" w:rsidRPr="00D076D3">
        <w:rPr>
          <w:b/>
          <w:bCs/>
        </w:rPr>
        <w:t>:</w:t>
      </w:r>
    </w:p>
    <w:p w14:paraId="5D69972A" w14:textId="57B9BCFD" w:rsidR="00214E61" w:rsidRDefault="00214E61" w:rsidP="00174B23">
      <w:r>
        <w:t>Zero Data loss</w:t>
      </w:r>
    </w:p>
    <w:p w14:paraId="4A5B085A" w14:textId="48A27C09" w:rsidR="00214E61" w:rsidRDefault="00214E61" w:rsidP="00214E61">
      <w:pPr>
        <w:pStyle w:val="ListParagraph"/>
        <w:numPr>
          <w:ilvl w:val="0"/>
          <w:numId w:val="24"/>
        </w:numPr>
      </w:pPr>
      <w:r>
        <w:t>Backup legacy ERP before migration events</w:t>
      </w:r>
    </w:p>
    <w:p w14:paraId="0F0CE2C4" w14:textId="66CE8E5E" w:rsidR="00214E61" w:rsidRDefault="00214E61" w:rsidP="00214E61">
      <w:pPr>
        <w:pStyle w:val="ListParagraph"/>
        <w:numPr>
          <w:ilvl w:val="0"/>
          <w:numId w:val="24"/>
        </w:numPr>
      </w:pPr>
      <w:r>
        <w:t>Use reconciliation controls</w:t>
      </w:r>
    </w:p>
    <w:p w14:paraId="1FA3A81D" w14:textId="2C4AF3E2" w:rsidR="00214E61" w:rsidRDefault="00214E61" w:rsidP="00214E61">
      <w:pPr>
        <w:pStyle w:val="ListParagraph"/>
        <w:numPr>
          <w:ilvl w:val="0"/>
          <w:numId w:val="24"/>
        </w:numPr>
      </w:pPr>
      <w:r>
        <w:t>Preserve legacy identifiers</w:t>
      </w:r>
    </w:p>
    <w:p w14:paraId="51994BFC" w14:textId="1D2B5438" w:rsidR="00214E61" w:rsidRDefault="00214E61" w:rsidP="00214E61">
      <w:pPr>
        <w:pStyle w:val="ListParagraph"/>
        <w:numPr>
          <w:ilvl w:val="0"/>
          <w:numId w:val="24"/>
        </w:numPr>
      </w:pPr>
      <w:r>
        <w:t>Separate active and historical data</w:t>
      </w:r>
    </w:p>
    <w:p w14:paraId="274ACACB" w14:textId="6F16A586" w:rsidR="00214E61" w:rsidRDefault="00214E61" w:rsidP="00214E61">
      <w:pPr>
        <w:pStyle w:val="ListParagraph"/>
        <w:numPr>
          <w:ilvl w:val="0"/>
          <w:numId w:val="24"/>
        </w:numPr>
      </w:pPr>
      <w:r>
        <w:t>Perform multiple mock migrations</w:t>
      </w:r>
    </w:p>
    <w:p w14:paraId="675C87F5" w14:textId="5BA39826" w:rsidR="00214E61" w:rsidRDefault="00214E61" w:rsidP="00214E61">
      <w:r>
        <w:t>Zero Service Interruptions</w:t>
      </w:r>
    </w:p>
    <w:p w14:paraId="58F12BC7" w14:textId="417BCC76" w:rsidR="00214E61" w:rsidRDefault="00214E61" w:rsidP="00214E61">
      <w:pPr>
        <w:pStyle w:val="ListParagraph"/>
        <w:numPr>
          <w:ilvl w:val="0"/>
          <w:numId w:val="25"/>
        </w:numPr>
      </w:pPr>
      <w:r>
        <w:t>Phased rollouts and parallel operations</w:t>
      </w:r>
    </w:p>
    <w:p w14:paraId="03BCA8B8" w14:textId="7D3CDD49" w:rsidR="00214E61" w:rsidRDefault="00214E61" w:rsidP="00214E61">
      <w:pPr>
        <w:pStyle w:val="ListParagraph"/>
        <w:numPr>
          <w:ilvl w:val="0"/>
          <w:numId w:val="25"/>
        </w:numPr>
      </w:pPr>
      <w:r>
        <w:t>Final cutover during a low-volume window</w:t>
      </w:r>
    </w:p>
    <w:p w14:paraId="28A3B1FD" w14:textId="4768CB9A" w:rsidR="00214E61" w:rsidRDefault="00214E61" w:rsidP="00214E61">
      <w:pPr>
        <w:pStyle w:val="ListParagraph"/>
        <w:numPr>
          <w:ilvl w:val="0"/>
          <w:numId w:val="25"/>
        </w:numPr>
      </w:pPr>
      <w:r>
        <w:t xml:space="preserve">Legacy read-only </w:t>
      </w:r>
      <w:proofErr w:type="gramStart"/>
      <w:r>
        <w:t>access</w:t>
      </w:r>
      <w:proofErr w:type="gramEnd"/>
      <w:r>
        <w:t xml:space="preserve"> available</w:t>
      </w:r>
    </w:p>
    <w:p w14:paraId="31E83D0B" w14:textId="0D7AEFCB" w:rsidR="00214E61" w:rsidRDefault="00214E61" w:rsidP="00214E61">
      <w:pPr>
        <w:pStyle w:val="ListParagraph"/>
        <w:numPr>
          <w:ilvl w:val="0"/>
          <w:numId w:val="25"/>
        </w:numPr>
      </w:pPr>
      <w:r>
        <w:t>Prepare rollback criteria and emergency procedures</w:t>
      </w:r>
    </w:p>
    <w:p w14:paraId="0A2F9C6D" w14:textId="4F0D8C32" w:rsidR="00214E61" w:rsidRDefault="00214E61" w:rsidP="00214E61">
      <w:r>
        <w:t>Seamless Operations</w:t>
      </w:r>
    </w:p>
    <w:p w14:paraId="7BAB259A" w14:textId="29128CC1" w:rsidR="00214E61" w:rsidRDefault="00214E61" w:rsidP="00214E61">
      <w:pPr>
        <w:pStyle w:val="ListParagraph"/>
        <w:numPr>
          <w:ilvl w:val="0"/>
          <w:numId w:val="26"/>
        </w:numPr>
      </w:pPr>
      <w:r>
        <w:t>Train users before go-live</w:t>
      </w:r>
    </w:p>
    <w:p w14:paraId="10D2C777" w14:textId="382BDA24" w:rsidR="00214E61" w:rsidRDefault="00214E61" w:rsidP="00214E61">
      <w:pPr>
        <w:pStyle w:val="ListParagraph"/>
        <w:numPr>
          <w:ilvl w:val="0"/>
          <w:numId w:val="26"/>
        </w:numPr>
      </w:pPr>
      <w:r>
        <w:t>Use dashboards for operational health</w:t>
      </w:r>
    </w:p>
    <w:p w14:paraId="4398F93F" w14:textId="20A9FB9D" w:rsidR="00214E61" w:rsidRDefault="00214E61" w:rsidP="00214E61">
      <w:pPr>
        <w:pStyle w:val="ListParagraph"/>
        <w:numPr>
          <w:ilvl w:val="0"/>
          <w:numId w:val="26"/>
        </w:numPr>
      </w:pPr>
      <w:r>
        <w:t>Communicate clearly with stakeholders</w:t>
      </w:r>
    </w:p>
    <w:p w14:paraId="65DB42DC" w14:textId="40F09D84" w:rsidR="00214E61" w:rsidRDefault="00214E61" w:rsidP="00214E61">
      <w:r>
        <w:t>Key Architectural Trade-Offs</w:t>
      </w:r>
    </w:p>
    <w:p w14:paraId="118C41C0" w14:textId="75274E98" w:rsidR="00214E61" w:rsidRDefault="00214E61" w:rsidP="00214E61">
      <w:r>
        <w:t>Full historical migration into Odoo vs data lake archive</w:t>
      </w:r>
    </w:p>
    <w:p w14:paraId="3AD62E63" w14:textId="39D3165F" w:rsidR="00214E61" w:rsidRDefault="00214E61" w:rsidP="00214E61">
      <w:r>
        <w:tab/>
        <w:t>Option A: load all historical data into Odoo:</w:t>
      </w:r>
    </w:p>
    <w:p w14:paraId="1C65451B" w14:textId="77777777" w:rsidR="00214E61" w:rsidRDefault="00214E61" w:rsidP="00214E61">
      <w:r>
        <w:tab/>
      </w:r>
      <w:r>
        <w:tab/>
        <w:t>Pros: Users search in one system</w:t>
      </w:r>
    </w:p>
    <w:p w14:paraId="5E52223B" w14:textId="77777777" w:rsidR="00214E61" w:rsidRDefault="00214E61" w:rsidP="00214E61">
      <w:r>
        <w:tab/>
      </w:r>
      <w:r>
        <w:tab/>
        <w:t>Cons: Larger Odoo database, slower performance</w:t>
      </w:r>
    </w:p>
    <w:p w14:paraId="296A4D47" w14:textId="77777777" w:rsidR="00214E61" w:rsidRDefault="00214E61" w:rsidP="00214E61">
      <w:r>
        <w:tab/>
        <w:t>Option B: Load active data into Odoo and archive history in a data lake:</w:t>
      </w:r>
    </w:p>
    <w:p w14:paraId="714C09BE" w14:textId="77777777" w:rsidR="00214E61" w:rsidRDefault="00214E61" w:rsidP="00214E61">
      <w:r>
        <w:tab/>
      </w:r>
      <w:r>
        <w:tab/>
        <w:t>Pros: Better performance, scalable analytics</w:t>
      </w:r>
    </w:p>
    <w:p w14:paraId="42A033E8" w14:textId="77777777" w:rsidR="00D076D3" w:rsidRDefault="00214E61" w:rsidP="00214E61">
      <w:r>
        <w:tab/>
      </w:r>
      <w:r>
        <w:tab/>
        <w:t>Cons: Users may need separate reporting tools to access older records</w:t>
      </w:r>
    </w:p>
    <w:p w14:paraId="34875732" w14:textId="77777777" w:rsidR="00D076D3" w:rsidRDefault="00D076D3" w:rsidP="00214E61">
      <w:r>
        <w:t>Standard Odoo configurations vs custom development</w:t>
      </w:r>
    </w:p>
    <w:p w14:paraId="28589A13" w14:textId="77777777" w:rsidR="00D076D3" w:rsidRDefault="00D076D3" w:rsidP="00214E61">
      <w:r>
        <w:tab/>
        <w:t>Option A: Use standard Odoo processes</w:t>
      </w:r>
    </w:p>
    <w:p w14:paraId="0B920BEA" w14:textId="77777777" w:rsidR="00D076D3" w:rsidRDefault="00D076D3" w:rsidP="00214E61">
      <w:r>
        <w:tab/>
      </w:r>
      <w:r>
        <w:tab/>
        <w:t>Pros: Faster implementation, lower cost, easy upgrades</w:t>
      </w:r>
    </w:p>
    <w:p w14:paraId="781319C4" w14:textId="77777777" w:rsidR="00D076D3" w:rsidRDefault="00D076D3" w:rsidP="00214E61">
      <w:r>
        <w:tab/>
      </w:r>
      <w:r>
        <w:tab/>
        <w:t>Cons: Some legacy processes may need to change</w:t>
      </w:r>
    </w:p>
    <w:p w14:paraId="4F893903" w14:textId="77777777" w:rsidR="00D076D3" w:rsidRDefault="00D076D3" w:rsidP="00214E61">
      <w:r>
        <w:tab/>
        <w:t>Option B: Rebuild legacy custom workflows in Odoo</w:t>
      </w:r>
    </w:p>
    <w:p w14:paraId="76E7974F" w14:textId="77777777" w:rsidR="00D076D3" w:rsidRDefault="00D076D3" w:rsidP="00D076D3">
      <w:pPr>
        <w:ind w:left="1440"/>
      </w:pPr>
      <w:r>
        <w:lastRenderedPageBreak/>
        <w:t>Pros: Less business change for users</w:t>
      </w:r>
      <w:r>
        <w:br/>
        <w:t>Cons: Higher cost, risk and upgrades with long term maintenance</w:t>
      </w:r>
    </w:p>
    <w:p w14:paraId="5D49812B" w14:textId="77777777" w:rsidR="00D076D3" w:rsidRDefault="00D076D3" w:rsidP="00D076D3">
      <w:r>
        <w:t>Big-band cutover vs phased rollout</w:t>
      </w:r>
    </w:p>
    <w:p w14:paraId="5A6C8DFF" w14:textId="77777777" w:rsidR="00D076D3" w:rsidRDefault="00D076D3" w:rsidP="00D076D3">
      <w:r>
        <w:tab/>
        <w:t>Option A: Big-bang migration</w:t>
      </w:r>
    </w:p>
    <w:p w14:paraId="4371EBBE" w14:textId="77777777" w:rsidR="00D076D3" w:rsidRDefault="00D076D3" w:rsidP="00D076D3">
      <w:r>
        <w:tab/>
      </w:r>
      <w:r>
        <w:tab/>
        <w:t>Pros: one cutover event, simpler end-state</w:t>
      </w:r>
    </w:p>
    <w:p w14:paraId="288699A3" w14:textId="77777777" w:rsidR="00D076D3" w:rsidRDefault="00D076D3" w:rsidP="00D076D3">
      <w:r>
        <w:tab/>
      </w:r>
      <w:r>
        <w:tab/>
        <w:t>Cons: higher go-live risk, troubleshooting</w:t>
      </w:r>
    </w:p>
    <w:p w14:paraId="120A36AC" w14:textId="77777777" w:rsidR="00D076D3" w:rsidRDefault="00D076D3" w:rsidP="00D076D3">
      <w:r>
        <w:tab/>
        <w:t>Option B: Phased rollout</w:t>
      </w:r>
    </w:p>
    <w:p w14:paraId="7CB0BFFC" w14:textId="77777777" w:rsidR="00D076D3" w:rsidRDefault="00D076D3" w:rsidP="00D076D3">
      <w:r>
        <w:tab/>
      </w:r>
      <w:r>
        <w:tab/>
        <w:t>Pros: Lower risk, easier learning curve</w:t>
      </w:r>
    </w:p>
    <w:p w14:paraId="29191F70" w14:textId="43D7C3CF" w:rsidR="00D076D3" w:rsidRDefault="00D076D3" w:rsidP="00D076D3">
      <w:r>
        <w:tab/>
      </w:r>
      <w:r>
        <w:tab/>
        <w:t>Cons: Requires temporary integrations between new and old systems</w:t>
      </w:r>
      <w:r w:rsidR="00214E61">
        <w:t xml:space="preserve"> </w:t>
      </w:r>
    </w:p>
    <w:p w14:paraId="09BF4C13" w14:textId="5431A0C5" w:rsidR="00D076D3" w:rsidRDefault="00D076D3" w:rsidP="00D076D3">
      <w:pPr>
        <w:rPr>
          <w:b/>
          <w:bCs/>
        </w:rPr>
      </w:pPr>
      <w:r w:rsidRPr="00D076D3">
        <w:rPr>
          <w:b/>
          <w:bCs/>
        </w:rPr>
        <w:t>Reflection Question:</w:t>
      </w:r>
    </w:p>
    <w:p w14:paraId="086DD61F" w14:textId="25266FC2" w:rsidR="00D076D3" w:rsidRDefault="00D076D3" w:rsidP="00D076D3">
      <w:r>
        <w:t>How does using a structured framework like the TECHXDS Five-Phase Flight Plan help manage stakeholder expectations and reduce risk in a complex migration project?</w:t>
      </w:r>
    </w:p>
    <w:p w14:paraId="512ECD0A" w14:textId="454B6E21" w:rsidR="00D076D3" w:rsidRPr="00D076D3" w:rsidRDefault="00D076D3" w:rsidP="00D076D3">
      <w:pPr>
        <w:rPr>
          <w:b/>
          <w:bCs/>
        </w:rPr>
      </w:pPr>
      <w:r>
        <w:t>A structured framework helps stakeholders understand that migration is not just a technical data transfer. The five phases separate the work into manageable chunks with clear deliverables, approvals, and checkpoints. Business leaders can see when decisions are needed, users can see when training will happen, and technical teams can validate data before go-live.</w:t>
      </w:r>
    </w:p>
    <w:p w14:paraId="6488C9BB" w14:textId="77777777" w:rsidR="00D076D3" w:rsidRDefault="00D076D3" w:rsidP="00D076D3"/>
    <w:sectPr w:rsidR="00D076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C3ED8"/>
    <w:multiLevelType w:val="hybridMultilevel"/>
    <w:tmpl w:val="CC740A5A"/>
    <w:lvl w:ilvl="0" w:tplc="0409000F">
      <w:start w:val="1"/>
      <w:numFmt w:val="decimal"/>
      <w:lvlText w:val="%1."/>
      <w:lvlJc w:val="left"/>
      <w:pPr>
        <w:ind w:left="1445" w:hanging="360"/>
      </w:pPr>
    </w:lvl>
    <w:lvl w:ilvl="1" w:tplc="0409000F">
      <w:start w:val="1"/>
      <w:numFmt w:val="decimal"/>
      <w:lvlText w:val="%2."/>
      <w:lvlJc w:val="left"/>
      <w:pPr>
        <w:ind w:left="2165" w:hanging="360"/>
      </w:pPr>
    </w:lvl>
    <w:lvl w:ilvl="2" w:tplc="0409001B">
      <w:start w:val="1"/>
      <w:numFmt w:val="lowerRoman"/>
      <w:lvlText w:val="%3."/>
      <w:lvlJc w:val="right"/>
      <w:pPr>
        <w:ind w:left="2885" w:hanging="180"/>
      </w:pPr>
    </w:lvl>
    <w:lvl w:ilvl="3" w:tplc="0409000F" w:tentative="1">
      <w:start w:val="1"/>
      <w:numFmt w:val="decimal"/>
      <w:lvlText w:val="%4."/>
      <w:lvlJc w:val="left"/>
      <w:pPr>
        <w:ind w:left="3605" w:hanging="360"/>
      </w:pPr>
    </w:lvl>
    <w:lvl w:ilvl="4" w:tplc="04090019" w:tentative="1">
      <w:start w:val="1"/>
      <w:numFmt w:val="lowerLetter"/>
      <w:lvlText w:val="%5."/>
      <w:lvlJc w:val="left"/>
      <w:pPr>
        <w:ind w:left="4325" w:hanging="360"/>
      </w:pPr>
    </w:lvl>
    <w:lvl w:ilvl="5" w:tplc="0409001B" w:tentative="1">
      <w:start w:val="1"/>
      <w:numFmt w:val="lowerRoman"/>
      <w:lvlText w:val="%6."/>
      <w:lvlJc w:val="right"/>
      <w:pPr>
        <w:ind w:left="5045" w:hanging="180"/>
      </w:pPr>
    </w:lvl>
    <w:lvl w:ilvl="6" w:tplc="0409000F" w:tentative="1">
      <w:start w:val="1"/>
      <w:numFmt w:val="decimal"/>
      <w:lvlText w:val="%7."/>
      <w:lvlJc w:val="left"/>
      <w:pPr>
        <w:ind w:left="5765" w:hanging="360"/>
      </w:pPr>
    </w:lvl>
    <w:lvl w:ilvl="7" w:tplc="04090019" w:tentative="1">
      <w:start w:val="1"/>
      <w:numFmt w:val="lowerLetter"/>
      <w:lvlText w:val="%8."/>
      <w:lvlJc w:val="left"/>
      <w:pPr>
        <w:ind w:left="6485" w:hanging="360"/>
      </w:pPr>
    </w:lvl>
    <w:lvl w:ilvl="8" w:tplc="0409001B" w:tentative="1">
      <w:start w:val="1"/>
      <w:numFmt w:val="lowerRoman"/>
      <w:lvlText w:val="%9."/>
      <w:lvlJc w:val="right"/>
      <w:pPr>
        <w:ind w:left="7205" w:hanging="180"/>
      </w:pPr>
    </w:lvl>
  </w:abstractNum>
  <w:abstractNum w:abstractNumId="1" w15:restartNumberingAfterBreak="0">
    <w:nsid w:val="067B4ED8"/>
    <w:multiLevelType w:val="multilevel"/>
    <w:tmpl w:val="D7544FD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37D91"/>
    <w:multiLevelType w:val="hybridMultilevel"/>
    <w:tmpl w:val="0F70BE5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D8A0D50"/>
    <w:multiLevelType w:val="multilevel"/>
    <w:tmpl w:val="C1C66B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9786B"/>
    <w:multiLevelType w:val="multilevel"/>
    <w:tmpl w:val="FB94053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B36F8"/>
    <w:multiLevelType w:val="hybridMultilevel"/>
    <w:tmpl w:val="F43411D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9DC461C"/>
    <w:multiLevelType w:val="multilevel"/>
    <w:tmpl w:val="A82E6AF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379CC"/>
    <w:multiLevelType w:val="multilevel"/>
    <w:tmpl w:val="CD0AB2F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567214"/>
    <w:multiLevelType w:val="multilevel"/>
    <w:tmpl w:val="946ECF7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D6670B"/>
    <w:multiLevelType w:val="multilevel"/>
    <w:tmpl w:val="98E6504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0C774C"/>
    <w:multiLevelType w:val="hybridMultilevel"/>
    <w:tmpl w:val="00DC4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343139"/>
    <w:multiLevelType w:val="multilevel"/>
    <w:tmpl w:val="192CEC8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225BA7"/>
    <w:multiLevelType w:val="multilevel"/>
    <w:tmpl w:val="BE7E743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AE1407"/>
    <w:multiLevelType w:val="multilevel"/>
    <w:tmpl w:val="16CAC6E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D1236F"/>
    <w:multiLevelType w:val="multilevel"/>
    <w:tmpl w:val="2638B0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3C44E0"/>
    <w:multiLevelType w:val="multilevel"/>
    <w:tmpl w:val="07C0BDC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781029"/>
    <w:multiLevelType w:val="hybridMultilevel"/>
    <w:tmpl w:val="4258849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5E762B3F"/>
    <w:multiLevelType w:val="multilevel"/>
    <w:tmpl w:val="837EEBD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375895"/>
    <w:multiLevelType w:val="hybridMultilevel"/>
    <w:tmpl w:val="49D01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B44402"/>
    <w:multiLevelType w:val="hybridMultilevel"/>
    <w:tmpl w:val="A144307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6CA42D54"/>
    <w:multiLevelType w:val="hybridMultilevel"/>
    <w:tmpl w:val="68CCB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2C031C"/>
    <w:multiLevelType w:val="multilevel"/>
    <w:tmpl w:val="0F48837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801D94"/>
    <w:multiLevelType w:val="multilevel"/>
    <w:tmpl w:val="DD0818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9F6204"/>
    <w:multiLevelType w:val="multilevel"/>
    <w:tmpl w:val="0BC2779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3E2245"/>
    <w:multiLevelType w:val="multilevel"/>
    <w:tmpl w:val="F1109B2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13026C"/>
    <w:multiLevelType w:val="multilevel"/>
    <w:tmpl w:val="338857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4034589">
    <w:abstractNumId w:val="0"/>
  </w:num>
  <w:num w:numId="2" w16cid:durableId="2003771832">
    <w:abstractNumId w:val="3"/>
  </w:num>
  <w:num w:numId="3" w16cid:durableId="505487382">
    <w:abstractNumId w:val="25"/>
  </w:num>
  <w:num w:numId="4" w16cid:durableId="1662935">
    <w:abstractNumId w:val="5"/>
  </w:num>
  <w:num w:numId="5" w16cid:durableId="193541631">
    <w:abstractNumId w:val="14"/>
  </w:num>
  <w:num w:numId="6" w16cid:durableId="1972469623">
    <w:abstractNumId w:val="22"/>
  </w:num>
  <w:num w:numId="7" w16cid:durableId="58327838">
    <w:abstractNumId w:val="21"/>
  </w:num>
  <w:num w:numId="8" w16cid:durableId="533470346">
    <w:abstractNumId w:val="8"/>
  </w:num>
  <w:num w:numId="9" w16cid:durableId="2099935053">
    <w:abstractNumId w:val="2"/>
  </w:num>
  <w:num w:numId="10" w16cid:durableId="879706809">
    <w:abstractNumId w:val="1"/>
  </w:num>
  <w:num w:numId="11" w16cid:durableId="2033452593">
    <w:abstractNumId w:val="12"/>
  </w:num>
  <w:num w:numId="12" w16cid:durableId="1746537214">
    <w:abstractNumId w:val="6"/>
  </w:num>
  <w:num w:numId="13" w16cid:durableId="1036351287">
    <w:abstractNumId w:val="13"/>
  </w:num>
  <w:num w:numId="14" w16cid:durableId="405617009">
    <w:abstractNumId w:val="19"/>
  </w:num>
  <w:num w:numId="15" w16cid:durableId="1983927802">
    <w:abstractNumId w:val="4"/>
  </w:num>
  <w:num w:numId="16" w16cid:durableId="477919543">
    <w:abstractNumId w:val="17"/>
  </w:num>
  <w:num w:numId="17" w16cid:durableId="519508969">
    <w:abstractNumId w:val="23"/>
  </w:num>
  <w:num w:numId="18" w16cid:durableId="608199230">
    <w:abstractNumId w:val="15"/>
  </w:num>
  <w:num w:numId="19" w16cid:durableId="302008009">
    <w:abstractNumId w:val="16"/>
  </w:num>
  <w:num w:numId="20" w16cid:durableId="1445156414">
    <w:abstractNumId w:val="11"/>
  </w:num>
  <w:num w:numId="21" w16cid:durableId="846293304">
    <w:abstractNumId w:val="7"/>
  </w:num>
  <w:num w:numId="22" w16cid:durableId="85076015">
    <w:abstractNumId w:val="9"/>
  </w:num>
  <w:num w:numId="23" w16cid:durableId="1837185577">
    <w:abstractNumId w:val="24"/>
  </w:num>
  <w:num w:numId="24" w16cid:durableId="2037610616">
    <w:abstractNumId w:val="20"/>
  </w:num>
  <w:num w:numId="25" w16cid:durableId="1264651797">
    <w:abstractNumId w:val="18"/>
  </w:num>
  <w:num w:numId="26" w16cid:durableId="53562938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1CE"/>
    <w:rsid w:val="00125899"/>
    <w:rsid w:val="00174B23"/>
    <w:rsid w:val="00214E61"/>
    <w:rsid w:val="002B31CE"/>
    <w:rsid w:val="004A3E57"/>
    <w:rsid w:val="0058213E"/>
    <w:rsid w:val="00747599"/>
    <w:rsid w:val="007622CD"/>
    <w:rsid w:val="00770FC5"/>
    <w:rsid w:val="00932EF6"/>
    <w:rsid w:val="009449AA"/>
    <w:rsid w:val="009735F6"/>
    <w:rsid w:val="009A5A99"/>
    <w:rsid w:val="00A65A16"/>
    <w:rsid w:val="00B25757"/>
    <w:rsid w:val="00D076D3"/>
    <w:rsid w:val="00DD21A0"/>
    <w:rsid w:val="00ED6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0784B6"/>
  <w15:chartTrackingRefBased/>
  <w15:docId w15:val="{3AAF21DB-6B04-AE4E-9665-48C154F3E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1CE"/>
    <w:rPr>
      <w:rFonts w:eastAsiaTheme="majorEastAsia" w:cstheme="majorBidi"/>
      <w:color w:val="272727" w:themeColor="text1" w:themeTint="D8"/>
    </w:rPr>
  </w:style>
  <w:style w:type="paragraph" w:styleId="Title">
    <w:name w:val="Title"/>
    <w:basedOn w:val="Normal"/>
    <w:next w:val="Normal"/>
    <w:link w:val="TitleChar"/>
    <w:uiPriority w:val="10"/>
    <w:qFormat/>
    <w:rsid w:val="002B3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1CE"/>
    <w:pPr>
      <w:spacing w:before="160"/>
      <w:jc w:val="center"/>
    </w:pPr>
    <w:rPr>
      <w:i/>
      <w:iCs/>
      <w:color w:val="404040" w:themeColor="text1" w:themeTint="BF"/>
    </w:rPr>
  </w:style>
  <w:style w:type="character" w:customStyle="1" w:styleId="QuoteChar">
    <w:name w:val="Quote Char"/>
    <w:basedOn w:val="DefaultParagraphFont"/>
    <w:link w:val="Quote"/>
    <w:uiPriority w:val="29"/>
    <w:rsid w:val="002B31CE"/>
    <w:rPr>
      <w:i/>
      <w:iCs/>
      <w:color w:val="404040" w:themeColor="text1" w:themeTint="BF"/>
    </w:rPr>
  </w:style>
  <w:style w:type="paragraph" w:styleId="ListParagraph">
    <w:name w:val="List Paragraph"/>
    <w:basedOn w:val="Normal"/>
    <w:uiPriority w:val="34"/>
    <w:qFormat/>
    <w:rsid w:val="002B31CE"/>
    <w:pPr>
      <w:ind w:left="720"/>
      <w:contextualSpacing/>
    </w:pPr>
  </w:style>
  <w:style w:type="character" w:styleId="IntenseEmphasis">
    <w:name w:val="Intense Emphasis"/>
    <w:basedOn w:val="DefaultParagraphFont"/>
    <w:uiPriority w:val="21"/>
    <w:qFormat/>
    <w:rsid w:val="002B31CE"/>
    <w:rPr>
      <w:i/>
      <w:iCs/>
      <w:color w:val="0F4761" w:themeColor="accent1" w:themeShade="BF"/>
    </w:rPr>
  </w:style>
  <w:style w:type="paragraph" w:styleId="IntenseQuote">
    <w:name w:val="Intense Quote"/>
    <w:basedOn w:val="Normal"/>
    <w:next w:val="Normal"/>
    <w:link w:val="IntenseQuoteChar"/>
    <w:uiPriority w:val="30"/>
    <w:qFormat/>
    <w:rsid w:val="002B3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1CE"/>
    <w:rPr>
      <w:i/>
      <w:iCs/>
      <w:color w:val="0F4761" w:themeColor="accent1" w:themeShade="BF"/>
    </w:rPr>
  </w:style>
  <w:style w:type="character" w:styleId="IntenseReference">
    <w:name w:val="Intense Reference"/>
    <w:basedOn w:val="DefaultParagraphFont"/>
    <w:uiPriority w:val="32"/>
    <w:qFormat/>
    <w:rsid w:val="002B31CE"/>
    <w:rPr>
      <w:b/>
      <w:bCs/>
      <w:smallCaps/>
      <w:color w:val="0F4761" w:themeColor="accent1" w:themeShade="BF"/>
      <w:spacing w:val="5"/>
    </w:rPr>
  </w:style>
  <w:style w:type="character" w:customStyle="1" w:styleId="notion-enable-hover">
    <w:name w:val="notion-enable-hover"/>
    <w:basedOn w:val="DefaultParagraphFont"/>
    <w:rsid w:val="007622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5</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Jamison Orton</dc:creator>
  <cp:keywords/>
  <dc:description/>
  <cp:lastModifiedBy>Jamison Orton</cp:lastModifiedBy>
  <cp:revision>3</cp:revision>
  <dcterms:created xsi:type="dcterms:W3CDTF">2026-06-30T15:37:00Z</dcterms:created>
  <dcterms:modified xsi:type="dcterms:W3CDTF">2026-06-30T18:02:00Z</dcterms:modified>
</cp:coreProperties>
</file>