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Paciente: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&lt;&lt;NOME&gt;&gt;</w:t>
      </w:r>
    </w:p>
    <w:p>
      <w:pPr>
        <w:spacing w:before="67" w:after="0" w:line="240"/>
        <w:ind w:right="0" w:left="153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67" w:after="0" w:line="240"/>
        <w:ind w:right="0" w:left="153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63" w:after="0" w:line="240"/>
        <w:ind w:right="0" w:left="15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63" w:after="0" w:line="240"/>
        <w:ind w:right="0" w:left="153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Código do Exame: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FFFF00" w:val="clear"/>
        </w:rPr>
        <w:t xml:space="preserve">&lt;&lt;ID_CT_VACINAS&gt;&gt;</w:t>
      </w:r>
    </w:p>
    <w:p>
      <w:pPr>
        <w:spacing w:before="10" w:after="0" w:line="240"/>
        <w:ind w:right="0" w:left="15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Origem: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&lt;&lt;NOME_HOSPITAL&gt;&gt;</w:t>
      </w:r>
    </w:p>
    <w:p>
      <w:pPr>
        <w:spacing w:before="7" w:after="0" w:line="240"/>
        <w:ind w:right="0" w:left="15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Data do Exame: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FFFF00" w:val="clear"/>
        </w:rPr>
        <w:t xml:space="preserve">&lt;&lt;DATA _COLETA_SWAB_ NASAL&gt;&gt;</w:t>
      </w:r>
    </w:p>
    <w:p>
      <w:pPr>
        <w:spacing w:before="39" w:after="0" w:line="366"/>
        <w:ind w:right="1944" w:left="215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PESQUISA DE RNA VIRAL</w:t>
      </w:r>
    </w:p>
    <w:p>
      <w:pPr>
        <w:spacing w:before="0" w:after="0" w:line="366"/>
        <w:ind w:right="1944" w:left="2146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Coronavírus SARS-CoV-2 (COVID-19)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5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1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1"/>
          <w:sz w:val="20"/>
          <w:shd w:fill="auto" w:val="clear"/>
        </w:rPr>
        <w:t xml:space="preserve">Material Utilizado: </w:t>
      </w:r>
      <w:r>
        <w:rPr>
          <w:rFonts w:ascii="Calibri" w:hAnsi="Calibri" w:cs="Calibri" w:eastAsia="Calibri"/>
          <w:b/>
          <w:color w:val="auto"/>
          <w:spacing w:val="0"/>
          <w:position w:val="1"/>
          <w:sz w:val="20"/>
          <w:shd w:fill="auto" w:val="clear"/>
        </w:rPr>
        <w:t xml:space="preserve">Swab nasal e de orofaringe</w:t>
      </w:r>
    </w:p>
    <w:p>
      <w:pPr>
        <w:spacing w:before="17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2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2"/>
          <w:sz w:val="20"/>
          <w:shd w:fill="auto" w:val="clear"/>
        </w:rPr>
        <w:t xml:space="preserve">Resultado RT-qPCR: </w:t>
      </w:r>
      <w:r>
        <w:rPr>
          <w:rFonts w:ascii="Calibri" w:hAnsi="Calibri" w:cs="Calibri" w:eastAsia="Calibri"/>
          <w:b/>
          <w:color w:val="auto"/>
          <w:spacing w:val="0"/>
          <w:position w:val="2"/>
          <w:sz w:val="20"/>
          <w:shd w:fill="auto" w:val="clear"/>
        </w:rPr>
        <w:t xml:space="preserve">&lt;&lt;STATUS_RESULTADO&gt;&gt;</w:t>
      </w:r>
      <w:r>
        <w:rPr>
          <w:rFonts w:ascii="Calibri" w:hAnsi="Calibri" w:cs="Calibri" w:eastAsia="Calibri"/>
          <w:b/>
          <w:color w:val="auto"/>
          <w:spacing w:val="0"/>
          <w:position w:val="2"/>
          <w:sz w:val="23"/>
          <w:shd w:fill="auto" w:val="clear"/>
        </w:rPr>
        <w:t xml:space="preserve"> </w:t>
      </w:r>
    </w:p>
    <w:p>
      <w:pPr>
        <w:spacing w:before="13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Método: RT-PCR Taq-Man qualitativo em tempo real.</w:t>
      </w:r>
    </w:p>
    <w:p>
      <w:pPr>
        <w:spacing w:before="6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6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Valores de Referência:</w:t>
      </w:r>
    </w:p>
    <w:p>
      <w:pPr>
        <w:spacing w:before="108" w:after="0" w:line="240"/>
        <w:ind w:right="0" w:left="3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&lt;&lt;STATUS_RESULTADO&gt;&gt;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: &lt;&lt;DETALHES_RESULTADO&gt;&gt;.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  <w:p>
      <w:pPr>
        <w:spacing w:before="59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Observações:</w:t>
      </w:r>
    </w:p>
    <w:p>
      <w:pPr>
        <w:spacing w:before="59" w:after="0" w:line="240"/>
        <w:ind w:right="0" w:left="0" w:firstLine="335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Neste ensaio avalia-se a presença ou ausência do material genético (RNA) do Coronavírus SARSCoV-2 a partir do gene E, específico do SARS-CoV-2, segundo o protocolo da Organização Mundo da Saúde (WHO). RNA viral purificado é utilizado como controle positivo da reação.</w:t>
      </w:r>
    </w:p>
    <w:p>
      <w:pPr>
        <w:spacing w:before="0" w:after="0" w:line="244"/>
        <w:ind w:right="0" w:left="0" w:firstLine="335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teste é considerado "Não Detectável" quando não há amplificação do gene alvo. Além disso, deverá haver a amplificação do RNA do gene humano RNAseP, utilizado como controle endógeno.</w:t>
      </w:r>
    </w:p>
    <w:p>
      <w:pPr>
        <w:spacing w:before="0" w:after="0" w:line="244"/>
        <w:ind w:right="0" w:left="0" w:firstLine="335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teste é considerado "Detectável" quando ocorre amplificação, além do RNA humano, do gene alvo testado.</w:t>
      </w:r>
    </w:p>
    <w:p>
      <w:pPr>
        <w:spacing w:before="0" w:after="0" w:line="244"/>
        <w:ind w:right="0" w:left="0" w:firstLine="335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Quando não há amplificação de gene viral alvo, ou do RNA humano, o teste é considerado "Inconclusivo" e deverá ser repetido.</w:t>
      </w:r>
    </w:p>
    <w:p>
      <w:pPr>
        <w:spacing w:before="0" w:after="0" w:line="244"/>
        <w:ind w:right="0" w:left="0" w:firstLine="335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resultado "Não Detectável" não descarta totalmente a presença do vírus e possibilidade de infecção, podendo ser ocasionado devido à baixa carga viral, estágio da infecção e diferenças genéticas entre as cepas/mutações, ou às condições pré analíticas como a coleta, armazenamento, transporte das amostras e utilização de antivirais. A interpretação dos resultados obtidos é de responsabilidade médica e deve ser avaliada em conjunto com os dados clínicos, epidemiológicos e laboratoriais do paciente. Havendo incompatibilidade clínica, é altamente recomendável a confirmação deste resultado em nova amostra.</w:t>
      </w:r>
    </w:p>
    <w:p>
      <w:pPr>
        <w:spacing w:before="0" w:after="0" w:line="244"/>
        <w:ind w:right="0" w:left="0" w:firstLine="335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Este teste faz parte do Estudo Clínico: “Efeitos do uso precoce da NITAZOXANIDA em paciente com covid-19”, aprovado pela CONEP, CAE 32258920.0.1001.5257, patrocinado pelo Ministério da Ciência, Tecnologia, Inovações e Comunicações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MCTIC.</w:t>
      </w:r>
    </w:p>
    <w:p>
      <w:pPr>
        <w:spacing w:before="59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59" w:after="0" w:line="240"/>
        <w:ind w:right="0" w:left="0" w:firstLine="33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Liberado em Belo Horizonte,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FFFF00" w:val="clear"/>
        </w:rPr>
        <w:t xml:space="preserve">&lt;&lt;DATA_LIBERACAO_RESULTADO&gt;&gt;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6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Responsável técnico:</w:t>
      </w:r>
    </w:p>
    <w:p>
      <w:pPr>
        <w:spacing w:before="6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59" w:after="0" w:line="247"/>
        <w:ind w:right="581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object w:dxaOrig="4409" w:dyaOrig="571">
          <v:rect xmlns:o="urn:schemas-microsoft-com:office:office" xmlns:v="urn:schemas-microsoft-com:vml" id="rectole0000000000" style="width:220.450000pt;height:28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59" w:after="0" w:line="247"/>
        <w:ind w:right="581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Ana Paula Salles M. Fernandes</w:t>
      </w:r>
    </w:p>
    <w:p>
      <w:pPr>
        <w:spacing w:before="59" w:after="0" w:line="247"/>
        <w:ind w:right="581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Pesquisadora Associada CT Vacinas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Professora Titular</w:t>
      </w:r>
    </w:p>
    <w:p>
      <w:pPr>
        <w:spacing w:before="59" w:after="0" w:line="247"/>
        <w:ind w:right="581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Inscrição UFMG -</w:t>
      </w:r>
      <w:r>
        <w:rPr>
          <w:rFonts w:ascii="Calibri" w:hAnsi="Calibri" w:cs="Calibri" w:eastAsia="Calibri"/>
          <w:color w:val="auto"/>
          <w:spacing w:val="-26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147176 Inscrição</w:t>
      </w:r>
      <w:r>
        <w:rPr>
          <w:rFonts w:ascii="Calibri" w:hAnsi="Calibri" w:cs="Calibri" w:eastAsia="Calibri"/>
          <w:color w:val="auto"/>
          <w:spacing w:val="-11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SIAPE</w:t>
      </w:r>
      <w:r>
        <w:rPr>
          <w:rFonts w:ascii="Calibri" w:hAnsi="Calibri" w:cs="Calibri" w:eastAsia="Calibri"/>
          <w:color w:val="auto"/>
          <w:spacing w:val="-11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11"/>
          <w:position w:val="0"/>
          <w:sz w:val="16"/>
          <w:shd w:fill="auto" w:val="clear"/>
        </w:rPr>
        <w:t xml:space="preserve">2226035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