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9C1B5D"/>
          <w:sz w:val="40"/>
          <w:szCs w:val="40"/>
        </w:rPr>
        <w:t xml:space="preserve">FORTEGNELSE OVER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9C1B5D"/>
          <w:sz w:val="40"/>
          <w:szCs w:val="40"/>
        </w:rPr>
        <w:t xml:space="preserve">BEHANDLINGSAKTIVITETER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Markedsføring på sociale medier</w:t>
      </w:r>
    </w:p>
    <w:p>
      <w:pPr>
        <w:spacing w:after="400" w:line="276"/>
        <w:jc w:val="center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SoMePlanning App — Jammerbugt Rengøring</w:t>
      </w:r>
    </w:p>
    <w:p>
      <w:pPr>
        <w:spacing w:after="700" w:line="276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Udarbejdet efter databeskyttelsesforordningens artikel 30</w:t>
      </w:r>
    </w:p>
    <w:tbl>
      <w:tblPr>
        <w:tblW w:type="dxa" w:w="902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september 2026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Ansvarlig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Jonn Tholstrup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Udkast — skal gennemgås juridisk, og oplysningerne skal efterprøves i selve appen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Hører sammen med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Fortegnelse over behandlingsaktiviteter — Rengøringsplan. De to dokumenter dækker hver sit system og skal læses som et par.</w:t>
            </w:r>
          </w:p>
        </w:tc>
      </w:tr>
    </w:tbl>
    <w:p>
      <w:pPr>
        <w:spacing w:after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Læs det her først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Dette dokument bygger på oplysninger, ikke på en gennemgang. </w:t>
      </w:r>
      <w:r>
        <w:rPr>
          <w:rFonts w:ascii="Calibri" w:cs="Calibri" w:eastAsia="Calibri" w:hAnsi="Calibri"/>
          <w:sz w:val="21"/>
          <w:szCs w:val="21"/>
        </w:rPr>
        <w:t xml:space="preserve">Fortegnelsen for planlægningssystemet er udledt direkte af databasen: hver påstand om et felt, en frist eller en modtager er aflæst i det system, der kører. Det er ikke tilfældet her. Markedsføringsappens database er ikke gennemgået, og indholdet nedenfor stammer fra det, der er oplyst om appen.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Konsekvensen: det her er et kvalificeret udgangspunkt, ikke en efterprøvet fortegnelse. Felterne skal bekræftes mod appen, før dokumentet lægges til grund over for nogen.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Felter med </w:t>
      </w:r>
      <w:r>
        <w:rPr>
          <w:rFonts w:ascii="Calibri" w:cs="Calibri" w:eastAsia="Calibri" w:hAnsi="Calibri"/>
          <w:b/>
          <w:bCs/>
          <w:color w:val="B45309"/>
          <w:sz w:val="21"/>
          <w:szCs w:val="21"/>
          <w:highlight w:val="yellow"/>
          <w:highlightCs w:val="yellow"/>
        </w:rPr>
        <w:t xml:space="preserve">gul baggrund</w:t>
      </w:r>
      <w:r>
        <w:rPr>
          <w:rFonts w:ascii="Calibri" w:cs="Calibri" w:eastAsia="Calibri" w:hAnsi="Calibri"/>
          <w:sz w:val="21"/>
          <w:szCs w:val="21"/>
        </w:rPr>
        <w:t xml:space="preserve"> mangler et svar. De skal udfyldes, før dokumentet sendes videre.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Jeg er ikke jurist. Beskrivelserne af retsgrundlag er forslag, der skal bekræftes.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9C1B5D"/>
          <w:sz w:val="30"/>
          <w:szCs w:val="30"/>
        </w:rPr>
        <w:t xml:space="preserve">1. Den dataansvarlige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Jammerbugt Rengøring bestemmer selv formål og midler med markedsføringen og er dataansvarlig for den. Der er ingen kommune og ingen kunde, der instruerer her — til forskel fra de kommunale opgaver i planlægningssystemet.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Virksomhed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Jammerbugt Rengøring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CVR-nummer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  <w:highlight w:val="yellow"/>
                <w:highlightCs w:val="yellow"/>
              </w:rPr>
              <w:t xml:space="preserve">[INDSÆT CVR]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Adresse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  <w:highlight w:val="yellow"/>
                <w:highlightCs w:val="yellow"/>
              </w:rPr>
              <w:t xml:space="preserve">[INDSÆT ADRESSE]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Ansvarlig for markedsføringen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  <w:highlight w:val="yellow"/>
                <w:highlightCs w:val="yellow"/>
              </w:rPr>
              <w:t xml:space="preserve">[HVEM BESLUTTER HVAD DER SLÅS OP?]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Ét sted er I ikke alene om ansvaret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EU-Domstolen har afgjort, at den der driver en Facebook-side, er fælles dataansvarlig med Meta for de statistikker, Meta laver om sidens besøgende. Det gælder, uanset om I bruger tallene, og det kan ikke aftales væk.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 praksis betyder det, at der skal foreligge en aftale om fordelingen af ansvaret, og at det væsentlige indhold skal være tilgængeligt for de besøgende. Meta har en standardtilføjelse til formålet.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  <w:highlight w:val="yellow"/>
          <w:highlightCs w:val="yellow"/>
        </w:rPr>
        <w:t xml:space="preserve">[AFKLAR MED RÅDGIVER — og find Metas Page Insights-tilføjelse frem]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9C1B5D"/>
          <w:sz w:val="30"/>
          <w:szCs w:val="30"/>
        </w:rPr>
        <w:t xml:space="preserve">2. Systemet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SoMePlanning App er en webapplikation til at planlægge, udgive og følge op på opslag og kampagner på virksomhedens egne profiler.</w:t>
      </w:r>
    </w:p>
    <w:p>
      <w:p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Supabase, projektet «SoMePlanning App», AWS eu-north-1 (Stockholm)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Hosting af appen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  <w:highlight w:val="yellow"/>
                <w:highlightCs w:val="yellow"/>
              </w:rPr>
              <w:t xml:space="preserve">[NETLIFY ELLER ANDET?]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Brugere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  <w:highlight w:val="yellow"/>
                <w:highlightCs w:val="yellow"/>
              </w:rPr>
              <w:t xml:space="preserve">[HVEM HAR ADGANG? ANTAL OG ROLLER]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Adgangskontrol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  <w:highlight w:val="yellow"/>
                <w:highlightCs w:val="yellow"/>
              </w:rPr>
              <w:t xml:space="preserve">[ER RÆKKENIVEAU-SIKKERHED SLÅET TIL PÅ ALLE TABELLER?]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I planlægningssystemet er den slået til på samtlige 42 tabeller. Det bør efterprøves her på samme måde.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Det deler infrastruktur med driften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 to projekter ligger i samme Supabase-organisation.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Adgang på organisationsniveau til markedsføringsappen kan derfor også række ind i driftsdatabasen</w:t>
      </w:r>
      <w:r>
        <w:rPr>
          <w:rFonts w:ascii="Calibri" w:cs="Calibri" w:eastAsia="Calibri" w:hAnsi="Calibri"/>
          <w:sz w:val="21"/>
          <w:szCs w:val="21"/>
        </w:rPr>
        <w:t xml:space="preserve"> med lønninger, kundeoplysninger og nøglebokskoder. Det er ikke nødvendigvis forkert, men det bør være et bevidst valg og ikke en tilfældighed.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Skal de adskilles, flyttes markedsføringsappen til sin egen organisation. Så følger adgangslisterne hvert sit formål.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9C1B5D"/>
          <w:sz w:val="30"/>
          <w:szCs w:val="30"/>
        </w:rPr>
        <w:t xml:space="preserve">3. Behandlingsaktiviteter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Fire aktiviteter. De hviler ikke på det samme, og det er hele pointen med at skille dem ad: billeder kræver samtykke, henvendelser gør ikke.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3.1. Planlægning og udgivelse af opslag</w:t>
      </w:r>
    </w:p>
    <w:tbl>
      <w:tblPr>
        <w:tblW w:type="dxa" w:w="902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Formål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planlægge og udgive opslag og kampagner på virksomhedens egne profiler.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Registrerede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Ingen, så længe opslaget kun indeholder tekst, billeder af lokaler og materiel, datoer og kanaler.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Kategorier af oplysninger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Opslagenes tekst, tidspunkter og hvilke kanaler de går til.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Retsgrundlag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Ikke relevant. Der behandles ingen personoplysninger i denne del alene.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Bemærkning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Aktiviteten står med, netop fordi den ikke indeholder personoplysninger. Så er der taget stilling til den, og næste gang nogen kigger, behøver de ikke undersøge det igen.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3.2. Billeder af medarbejdere og kunder</w:t>
      </w:r>
    </w:p>
    <w:tbl>
      <w:tblPr>
        <w:tblW w:type="dxa" w:w="902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Formål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vise arbejdet og menneskene bag i markedsføringen.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Registrerede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Medarbejdere og kunder, der kan genkendes på et billede.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Kategorier af oplysninger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Fotografier hvor en person kan genkendes, sammen med den sammenhæng billedet indgår i.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Retsgrundlag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Samtykke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artikel 6, stk. 1, litra a.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Et portrætbillede i markedsføring kan ikke hvile på ansættelsesaftalen. Hun er ikke ansat til at være model, og billedet er ikke nødvendigt for at udføre arbejdet.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Samtykket skal være frivilligt.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Mellem arbejdsgiver og ansat er der en skævhed, og et samtykke er kun gyldigt, hvis et nej ikke får konsekvenser. Det bør stå udtrykkeligt i det, hun skriver under på.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  <w:highlight w:val="yellow"/>
                <w:highlightCs w:val="yellow"/>
              </w:rPr>
              <w:t xml:space="preserve">[BEKRÆFT MED RÅDGIVER]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Modtagere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 og LinkedIn, når billedet udgives. Se afsnit 4.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Sletning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  <w:highlight w:val="yellow"/>
                <w:highlightCs w:val="yellow"/>
              </w:rPr>
              <w:t xml:space="preserve">[FASTSÆT FRIST FOR BILLEDER DER IKKE LÆNGERE BRUGES]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 der kræver en arbejdsgang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Et samtykke kan trækkes tilbage når som helst — også af en medarbejder, der stoppede for to år siden.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 skal kunne finde og fjerne netop den persons billeder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både i appen og i det, der allerede er slået op. Det er ikke en indstilling, men en arbejdsgang, og uden den kan I ikke efterkomme en anmodning, I er forpligtet til at efterkomme.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Overvej at notere ved hvert billede, hvem der er på det. Ellers bliver en tilbagetrækning til at lede manuelt gennem års opslag.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3.3. Henvendelser, kommentarer og beskeder</w:t>
      </w:r>
    </w:p>
    <w:tbl>
      <w:tblPr>
        <w:tblW w:type="dxa" w:w="902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Formål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kunne svare på det, folk skriver til jer gennem opslagene, og følge op på en henvendelse.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Registrerede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Personer uden for virksomheden, som kommenterer, skriver eller henvender sig.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Bemærk: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 er ikke kunder. Alle andre steder i virksomhedens systemer er der en aftale at støtte behandlingen på. Her er der ingen.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Kategorier af oplysninger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Navn eller profilnavn, beskedens indhold, tidspunkt, og hvad der eventuelt er aftalt eller svaret.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Retsgrundlag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Artikel 6, stk. 1, litra f — legitim interesse i at kunne svare den, der henvender sig. </w:t>
            </w: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  <w:highlight w:val="yellow"/>
                <w:highlightCs w:val="yellow"/>
              </w:rPr>
              <w:t xml:space="preserve">[BEKRÆFT]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Bliver henvendelsen til en konkret forespørgsel på arbejde, glider grundlaget over i litra b: skridt forud for en aftale.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Rettigheder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Ved legitim interesse har den registrerede ret til at gøre indsigelse. Kommer der en indsigelse, skal behandlingen ophøre, medmindre der er tungtvejende grunde til andet.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Sletning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  <w:highlight w:val="yellow"/>
                <w:highlightCs w:val="yellow"/>
              </w:rPr>
              <w:t xml:space="preserve">[FASTSÆT — foreslået: slet henvendelser der ikke fører til noget, efter 6 eller 12 måneder]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Det er den vigtigste frist i dokumentet. En henvendelse, der aldrig blev til en kunde, har I ingen grund til at gemme i årevis — og det er samtidig den slags data, der bliver liggende, fordi ingen har sagt noget om den.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3.4. Adgang til virksomhedens profiler</w:t>
      </w:r>
    </w:p>
    <w:tbl>
      <w:tblPr>
        <w:tblW w:type="dxa" w:w="902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Formål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appen kan slå op på virksomhedens vegne uden at nogen logger manuelt ind hver gang.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Kategorier af oplysninger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Adgangsnøgler til virksomhedens profiler på Facebook, Instagram og LinkedIn.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Er det personoplysninger?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Ikke i sig selv. Men nøglerne giver adgang til konti, hvor der ligger beskeder fra andre mennesker, og de skal derfor behandles som det mest følsomme i appen.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Foranstaltninger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  <w:highlight w:val="yellow"/>
                <w:highlightCs w:val="yellow"/>
              </w:rPr>
              <w:t xml:space="preserve">[HVOR LIGGER NØGLERNE? ER DE KRYPTERET? HVEM KAN LÆSE DEM?]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De må aldrig kunne læses fra browseren. I planlægningssystemet ligger den slags i serverfunktioner, ikke i appen — samme princip bør gælde her.</w:t>
            </w:r>
          </w:p>
        </w:tc>
      </w:tr>
      <w:tr>
        <w:tc>
          <w:tcPr>
            <w:tcW w:type="dxa" w:w="2300"/>
            <w:shd w:fill="FAFA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Ved fratrædelse</w:t>
            </w:r>
          </w:p>
        </w:tc>
        <w:tc>
          <w:tcPr>
            <w:tcW w:type="dxa" w:w="6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Stopper den, der har koblet profilerne på, skal nøglerne fornyes. Ellers hænger adgangen på en person, der er gået.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9C1B5D"/>
          <w:sz w:val="30"/>
          <w:szCs w:val="30"/>
        </w:rPr>
        <w:t xml:space="preserve">4. Modtagere</w:t>
      </w:r>
    </w:p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3226"/>
        <w:gridCol w:w="1800"/>
      </w:tblGrid>
      <w:tr>
        <w:trPr>
          <w:tblHeader/>
        </w:trPr>
        <w:tc>
          <w:tcPr>
            <w:tcW w:type="dxa" w:w="2100"/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Modtager</w:t>
            </w:r>
          </w:p>
        </w:tc>
        <w:tc>
          <w:tcPr>
            <w:tcW w:type="dxa" w:w="1900"/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Rolle</w:t>
            </w:r>
          </w:p>
        </w:tc>
        <w:tc>
          <w:tcPr>
            <w:tcW w:type="dxa" w:w="3226"/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Hvilke oplysninger</w:t>
            </w:r>
          </w:p>
        </w:tc>
        <w:tc>
          <w:tcPr>
            <w:tcW w:type="dxa" w:w="1800"/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Placering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(Supabase Inc.)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og serverfunktioner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 hvad appen gemmer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AWS Stockholm, eu-north-1 (EU)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 (Facebook, Instagram)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Udgivelse og modtagelse af henvendelser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Opslag, billeder, kommentarer og beskeder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LinkedIn (Microsoft)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Udgivelse af opslag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Opslag og billeder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Hosting af selve appen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  <w:highlight w:val="yellow"/>
                <w:highlightCs w:val="yellow"/>
              </w:rPr>
              <w:t xml:space="preserve">[UDFYLD]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Programfiler, formentlig ingen persondata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  <w:highlight w:val="yellow"/>
                <w:highlightCs w:val="yellow"/>
              </w:rPr>
              <w:t xml:space="preserve">[UDFYLD]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Overførsel til tredjelande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Meta og LinkedIn er amerikanske. Til forskel fra planlægningssystemet, hvor USA kun modtager programfiler og krypterede beskeder, sendes her rigtigt indhold: billeder af navngivne mennesker og beskeder fra dem, der skriver.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Det er en anden og tungere overførsel end den, planlægningssystemet foretager, og den bør beskrives som sådan over for en rådgiver.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  <w:highlight w:val="yellow"/>
          <w:highlightCs w:val="yellow"/>
        </w:rPr>
        <w:t xml:space="preserve">[VEDLÆG: Metas og LinkedIns databehandlervilkår samt Metas Page Insights-tilføjelse]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9C1B5D"/>
          <w:sz w:val="30"/>
          <w:szCs w:val="30"/>
        </w:rPr>
        <w:t xml:space="preserve">5. Det der mangler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Ingen af punkterne kan besvares uden at åbne appen eller træffe en beslutning.</w:t>
      </w:r>
    </w:p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Punkt</w:t>
            </w:r>
          </w:p>
        </w:tc>
        <w:tc>
          <w:tcPr>
            <w:tcW w:type="dxa" w:w="5626"/>
            <w:shd w:fill="F2F4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Hvorfor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Efterprøv indholdet mod appens database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Hele dokumentet bygger på oplysninger, ikke på en gennemgang. Det skal vendes om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Skriftligt samtykke til billeder af medarbejdere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Skal være frivilligt, dokumenteret og muligt at trække tilbage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Arbejdsgang for at fjerne en persons billeder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Både i appen og i det allerede udgivne. Uden den kan en tilbagetrækning ikke efterkommes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Aftale om fælles dataansvar med Meta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Følger af Facebook-sidens statistik og kan ikke aftales væk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Sletningsfrist for henvendelser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Særligt dem der ikke bliver til en kunde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Sletningsfrist for billeder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Når de ikke længere bruges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Hvor og hvordan adgangsnøglerne opbevares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 giver adgang til konti med andres beskeder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Adgangskontrol på appens tabeller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Bør efterprøves som i planlægningssystemet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Adskil de to Supabase-projekter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 deler organisation, og dermed rækker adgang på tværs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Privatlivspolitik der nævner markedsføringen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Både medarbejdere og dem der henvender sig, skal kunne læse hvad der sker</w:t>
            </w:r>
          </w:p>
        </w:tc>
      </w:tr>
    </w:tbl>
    <w:p>
      <w:pPr>
        <w:spacing w:after="3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  <w:jc w:val="center"/>
      </w:pPr>
      <w:r>
        <w:rPr>
          <w:rFonts w:ascii="Calibri" w:cs="Calibri" w:eastAsia="Calibri" w:hAnsi="Calibri"/>
          <w:i/>
          <w:iCs/>
          <w:color w:val="9CA3AF"/>
          <w:sz w:val="21"/>
          <w:szCs w:val="21"/>
        </w:rPr>
        <w:t xml:space="preserve">— slut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Side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CA3AF"/>
        <w:sz w:val="16"/>
        <w:szCs w:val="16"/>
      </w:rPr>
      <w:t xml:space="preserve"> af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6"/>
      </w:pBdr>
      <w:spacing w:after="200"/>
      <w:jc w:val="right"/>
    </w:pPr>
    <w:r>
      <w:rPr>
        <w:rFonts w:ascii="Calibri" w:cs="Calibri" w:eastAsia="Calibri" w:hAnsi="Calibri"/>
        <w:color w:val="9CA3AF"/>
        <w:sz w:val="16"/>
        <w:szCs w:val="16"/>
      </w:rPr>
      <w:t xml:space="preserve">Fortegnelse · Markedsføring på sociale medier · Jammerbugt Rengøring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Fortegnelse over behandlingsaktiviteter — markedsføring på sociale medier</dc:title>
  <dc:creator>Jonn Tholstrup</dc:creator>
  <dc:description>Artikel 30-fortegnelse for SoMePlanning App hos Jammerbugt Rengøring</dc:description>
  <cp:lastModifiedBy>Un-named</cp:lastModifiedBy>
  <cp:revision>1</cp:revision>
  <dcterms:created xsi:type="dcterms:W3CDTF">2026-09-05T19:56:59.665Z</dcterms:created>
  <dcterms:modified xsi:type="dcterms:W3CDTF">2026-09-05T19:56:59.668Z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