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0343" w14:paraId="78B50F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80" w:type="dxa"/>
              <w:left w:w="360" w:type="dxa"/>
              <w:bottom w:w="200" w:type="dxa"/>
              <w:right w:w="360" w:type="dxa"/>
            </w:tcMar>
          </w:tcPr>
          <w:p w14:paraId="302FF6AC" w14:textId="77777777" w:rsidR="00D10343" w:rsidRDefault="00000000">
            <w:pPr>
              <w:spacing w:after="60"/>
            </w:pPr>
            <w:r>
              <w:rPr>
                <w:rFonts w:ascii="Arial" w:eastAsia="Arial" w:hAnsi="Arial" w:cs="Arial"/>
                <w:color w:val="9EB8D9"/>
                <w:sz w:val="22"/>
                <w:szCs w:val="22"/>
              </w:rPr>
              <w:t>Proposal (One-Pager)</w:t>
            </w:r>
          </w:p>
          <w:p w14:paraId="3B16E752" w14:textId="77777777" w:rsidR="00D10343" w:rsidRDefault="00000000">
            <w:pPr>
              <w:spacing w:after="160"/>
            </w:pPr>
            <w:r>
              <w:rPr>
                <w:rFonts w:ascii="Arial" w:eastAsia="Arial" w:hAnsi="Arial" w:cs="Arial"/>
                <w:b/>
                <w:bCs/>
                <w:color w:val="FFFFFF"/>
                <w:sz w:val="40"/>
                <w:szCs w:val="40"/>
              </w:rPr>
              <w:t>AI-Assisted Investigation Platform for Level 2 FCI</w:t>
            </w:r>
          </w:p>
        </w:tc>
      </w:tr>
      <w:tr w:rsidR="00D10343" w14:paraId="6726EE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4170"/>
            <w:tcMar>
              <w:top w:w="0" w:type="dxa"/>
              <w:left w:w="0" w:type="dxa"/>
              <w:bottom w:w="0" w:type="dxa"/>
              <w:right w:w="0" w:type="dxa"/>
            </w:tcMar>
          </w:tcPr>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0343" w14:paraId="6770CEE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B2A4A"/>
                  <w:tcMar>
                    <w:top w:w="60" w:type="dxa"/>
                    <w:left w:w="200" w:type="dxa"/>
                    <w:bottom w:w="60" w:type="dxa"/>
                    <w:right w:w="120" w:type="dxa"/>
                  </w:tcMar>
                </w:tcPr>
                <w:p w14:paraId="5521869B" w14:textId="77777777" w:rsidR="00D10343" w:rsidRDefault="00000000">
                  <w:r>
                    <w:rPr>
                      <w:rFonts w:ascii="Arial" w:eastAsia="Arial" w:hAnsi="Arial" w:cs="Arial"/>
                      <w:b/>
                      <w:bCs/>
                      <w:color w:val="C8D6F0"/>
                      <w:sz w:val="18"/>
                      <w:szCs w:val="18"/>
                    </w:rPr>
                    <w:t>Owner:</w:t>
                  </w:r>
                </w:p>
              </w:tc>
              <w:tc>
                <w:tcPr>
                  <w:tcW w:w="7560" w:type="dxa"/>
                  <w:tcBorders>
                    <w:top w:val="none" w:sz="0" w:space="0" w:color="FFFFFF"/>
                    <w:left w:val="none" w:sz="0" w:space="0" w:color="FFFFFF"/>
                    <w:bottom w:val="none" w:sz="0" w:space="0" w:color="FFFFFF"/>
                    <w:right w:val="none" w:sz="0" w:space="0" w:color="FFFFFF"/>
                  </w:tcBorders>
                  <w:shd w:val="clear" w:color="auto" w:fill="1B2A4A"/>
                  <w:tcMar>
                    <w:top w:w="60" w:type="dxa"/>
                    <w:left w:w="60" w:type="dxa"/>
                    <w:bottom w:w="60" w:type="dxa"/>
                    <w:right w:w="200" w:type="dxa"/>
                  </w:tcMar>
                </w:tcPr>
                <w:p w14:paraId="0235DD20" w14:textId="77777777" w:rsidR="00D10343" w:rsidRDefault="00000000">
                  <w:r>
                    <w:rPr>
                      <w:rFonts w:ascii="Arial" w:eastAsia="Arial" w:hAnsi="Arial" w:cs="Arial"/>
                      <w:color w:val="FFFFFF"/>
                      <w:sz w:val="18"/>
                      <w:szCs w:val="18"/>
                    </w:rPr>
                    <w:t>Tom Turrell / FCI Level 2</w:t>
                  </w:r>
                </w:p>
              </w:tc>
            </w:tr>
            <w:tr w:rsidR="00D10343" w14:paraId="4CB66EE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B2A4A"/>
                  <w:tcMar>
                    <w:top w:w="60" w:type="dxa"/>
                    <w:left w:w="200" w:type="dxa"/>
                    <w:bottom w:w="60" w:type="dxa"/>
                    <w:right w:w="120" w:type="dxa"/>
                  </w:tcMar>
                </w:tcPr>
                <w:p w14:paraId="6DBEF359" w14:textId="77777777" w:rsidR="00D10343" w:rsidRDefault="00000000">
                  <w:r>
                    <w:rPr>
                      <w:rFonts w:ascii="Arial" w:eastAsia="Arial" w:hAnsi="Arial" w:cs="Arial"/>
                      <w:b/>
                      <w:bCs/>
                      <w:color w:val="C8D6F0"/>
                      <w:sz w:val="18"/>
                      <w:szCs w:val="18"/>
                    </w:rPr>
                    <w:t>Audience:</w:t>
                  </w:r>
                </w:p>
              </w:tc>
              <w:tc>
                <w:tcPr>
                  <w:tcW w:w="7560" w:type="dxa"/>
                  <w:tcBorders>
                    <w:top w:val="none" w:sz="0" w:space="0" w:color="FFFFFF"/>
                    <w:left w:val="none" w:sz="0" w:space="0" w:color="FFFFFF"/>
                    <w:bottom w:val="none" w:sz="0" w:space="0" w:color="FFFFFF"/>
                    <w:right w:val="none" w:sz="0" w:space="0" w:color="FFFFFF"/>
                  </w:tcBorders>
                  <w:shd w:val="clear" w:color="auto" w:fill="1B2A4A"/>
                  <w:tcMar>
                    <w:top w:w="60" w:type="dxa"/>
                    <w:left w:w="60" w:type="dxa"/>
                    <w:bottom w:w="60" w:type="dxa"/>
                    <w:right w:w="200" w:type="dxa"/>
                  </w:tcMar>
                </w:tcPr>
                <w:p w14:paraId="518A9657" w14:textId="77777777" w:rsidR="00D10343" w:rsidRDefault="00000000">
                  <w:r>
                    <w:rPr>
                      <w:rFonts w:ascii="Arial" w:eastAsia="Arial" w:hAnsi="Arial" w:cs="Arial"/>
                      <w:color w:val="FFFFFF"/>
                      <w:sz w:val="18"/>
                      <w:szCs w:val="18"/>
                    </w:rPr>
                    <w:t>James Spaans, Mike Whelan</w:t>
                  </w:r>
                </w:p>
              </w:tc>
            </w:tr>
            <w:tr w:rsidR="00D10343" w14:paraId="4C7C975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B2A4A"/>
                  <w:tcMar>
                    <w:top w:w="60" w:type="dxa"/>
                    <w:left w:w="200" w:type="dxa"/>
                    <w:bottom w:w="60" w:type="dxa"/>
                    <w:right w:w="120" w:type="dxa"/>
                  </w:tcMar>
                </w:tcPr>
                <w:p w14:paraId="0DCA8CD0" w14:textId="77777777" w:rsidR="00D10343" w:rsidRDefault="00000000">
                  <w:r>
                    <w:rPr>
                      <w:rFonts w:ascii="Arial" w:eastAsia="Arial" w:hAnsi="Arial" w:cs="Arial"/>
                      <w:b/>
                      <w:bCs/>
                      <w:color w:val="C8D6F0"/>
                      <w:sz w:val="18"/>
                      <w:szCs w:val="18"/>
                    </w:rPr>
                    <w:t>Decision Needed:</w:t>
                  </w:r>
                </w:p>
              </w:tc>
              <w:tc>
                <w:tcPr>
                  <w:tcW w:w="7560" w:type="dxa"/>
                  <w:tcBorders>
                    <w:top w:val="none" w:sz="0" w:space="0" w:color="FFFFFF"/>
                    <w:left w:val="none" w:sz="0" w:space="0" w:color="FFFFFF"/>
                    <w:bottom w:val="none" w:sz="0" w:space="0" w:color="FFFFFF"/>
                    <w:right w:val="none" w:sz="0" w:space="0" w:color="FFFFFF"/>
                  </w:tcBorders>
                  <w:shd w:val="clear" w:color="auto" w:fill="1B2A4A"/>
                  <w:tcMar>
                    <w:top w:w="60" w:type="dxa"/>
                    <w:left w:w="60" w:type="dxa"/>
                    <w:bottom w:w="60" w:type="dxa"/>
                    <w:right w:w="200" w:type="dxa"/>
                  </w:tcMar>
                </w:tcPr>
                <w:p w14:paraId="2E88ADB4" w14:textId="77777777" w:rsidR="00D10343" w:rsidRDefault="00000000">
                  <w:r>
                    <w:rPr>
                      <w:rFonts w:ascii="Arial" w:eastAsia="Arial" w:hAnsi="Arial" w:cs="Arial"/>
                      <w:color w:val="FFFFFF"/>
                      <w:sz w:val="18"/>
                      <w:szCs w:val="18"/>
                    </w:rPr>
                    <w:t>Approve continued development of the AI-assisted investigation platform with dedicated developer time and a phased pilot timeline for Level 2 FCI.</w:t>
                  </w:r>
                </w:p>
              </w:tc>
            </w:tr>
          </w:tbl>
          <w:p w14:paraId="62C62930" w14:textId="77777777" w:rsidR="00D10343" w:rsidRDefault="00D10343"/>
        </w:tc>
      </w:tr>
    </w:tbl>
    <w:p w14:paraId="5BA0482E" w14:textId="77777777" w:rsidR="00D10343" w:rsidRDefault="00D10343">
      <w:pPr>
        <w:spacing w:before="280" w:after="40"/>
      </w:pPr>
    </w:p>
    <w:p w14:paraId="2EFDEFEB" w14:textId="77777777" w:rsidR="00D10343" w:rsidRDefault="00000000">
      <w:pPr>
        <w:spacing w:before="320" w:after="120"/>
      </w:pPr>
      <w:r>
        <w:rPr>
          <w:rFonts w:ascii="Arial" w:eastAsia="Arial" w:hAnsi="Arial" w:cs="Arial"/>
          <w:b/>
          <w:bCs/>
          <w:color w:val="2E4170"/>
          <w:sz w:val="24"/>
          <w:szCs w:val="24"/>
        </w:rPr>
        <w:t>1)  Problem</w:t>
      </w:r>
    </w:p>
    <w:p w14:paraId="5EE9D0BA" w14:textId="77777777" w:rsidR="00D10343" w:rsidRDefault="00D10343">
      <w:pPr>
        <w:pBdr>
          <w:bottom w:val="single" w:sz="6" w:space="1" w:color="C8D0DC"/>
        </w:pBdr>
        <w:spacing w:before="200" w:after="200"/>
      </w:pPr>
    </w:p>
    <w:p w14:paraId="4AF95EEA" w14:textId="77777777" w:rsidR="00D10343" w:rsidRDefault="00000000">
      <w:pPr>
        <w:spacing w:before="80" w:after="100" w:line="276" w:lineRule="auto"/>
      </w:pPr>
      <w:r>
        <w:rPr>
          <w:rFonts w:ascii="Georgia" w:eastAsia="Georgia" w:hAnsi="Georgia" w:cs="Georgia"/>
          <w:color w:val="2C2C2C"/>
          <w:sz w:val="21"/>
          <w:szCs w:val="21"/>
        </w:rPr>
        <w:t>Level 2 FCI investigators are expected to handle 10 cases per day. Realistically we're completing around 6, with each case taking anywhere from 20 minutes for a straightforward case handled by an experienced investigator, up to well over an hour for anything more complex or for less experienced team members.</w:t>
      </w:r>
    </w:p>
    <w:p w14:paraId="5BBB0DB3" w14:textId="77777777" w:rsidR="00D10343" w:rsidRDefault="00000000">
      <w:pPr>
        <w:spacing w:before="80" w:after="100" w:line="276" w:lineRule="auto"/>
      </w:pPr>
      <w:r>
        <w:rPr>
          <w:rFonts w:ascii="Georgia" w:eastAsia="Georgia" w:hAnsi="Georgia" w:cs="Georgia"/>
          <w:color w:val="2C2C2C"/>
          <w:sz w:val="21"/>
          <w:szCs w:val="21"/>
        </w:rPr>
        <w:t>The bottleneck is not the investigation itself. It's everything that has to happen before the investigator can start thinking about the case. Every case requires pulling data from five or six different systems (</w:t>
      </w:r>
      <w:proofErr w:type="spellStart"/>
      <w:r>
        <w:rPr>
          <w:rFonts w:ascii="Georgia" w:eastAsia="Georgia" w:hAnsi="Georgia" w:cs="Georgia"/>
          <w:color w:val="2C2C2C"/>
          <w:sz w:val="21"/>
          <w:szCs w:val="21"/>
        </w:rPr>
        <w:t>HauDesk</w:t>
      </w:r>
      <w:proofErr w:type="spellEnd"/>
      <w:r>
        <w:rPr>
          <w:rFonts w:ascii="Georgia" w:eastAsia="Georgia" w:hAnsi="Georgia" w:cs="Georgia"/>
          <w:color w:val="2C2C2C"/>
          <w:sz w:val="21"/>
          <w:szCs w:val="21"/>
        </w:rPr>
        <w:t xml:space="preserve">, Binance Admin, C360, </w:t>
      </w:r>
      <w:proofErr w:type="spellStart"/>
      <w:r>
        <w:rPr>
          <w:rFonts w:ascii="Georgia" w:eastAsia="Georgia" w:hAnsi="Georgia" w:cs="Georgia"/>
          <w:color w:val="2C2C2C"/>
          <w:sz w:val="21"/>
          <w:szCs w:val="21"/>
        </w:rPr>
        <w:t>Kodex</w:t>
      </w:r>
      <w:proofErr w:type="spellEnd"/>
      <w:r>
        <w:rPr>
          <w:rFonts w:ascii="Georgia" w:eastAsia="Georgia" w:hAnsi="Georgia" w:cs="Georgia"/>
          <w:color w:val="2C2C2C"/>
          <w:sz w:val="21"/>
          <w:szCs w:val="21"/>
        </w:rPr>
        <w:t>, Elliptic, L1 chat history), reading through all of it, holding the relevant details in your head, and then working through the case template section by section. There is no single view of the case. The investigator has to build that picture themselves, every time.</w:t>
      </w:r>
    </w:p>
    <w:p w14:paraId="32096BF0" w14:textId="77777777" w:rsidR="00D10343" w:rsidRDefault="00000000">
      <w:pPr>
        <w:spacing w:before="80" w:after="100" w:line="276" w:lineRule="auto"/>
      </w:pPr>
      <w:r>
        <w:rPr>
          <w:rFonts w:ascii="Georgia" w:eastAsia="Georgia" w:hAnsi="Georgia" w:cs="Georgia"/>
          <w:color w:val="2C2C2C"/>
          <w:sz w:val="21"/>
          <w:szCs w:val="21"/>
        </w:rPr>
        <w:t>The pressure to work faster has a predictable side effect. Investigators take shortcuts because they have to. Common ones include copying and pasting narratives from previous cases, reusing boilerplate paragraphs across different risk profiles, and relying on generic wording rather than bespoke analysis. This is completely understandable given the volume expectations, but it creates real risk: copy-paste errors where details from one case bleed into another, generic-sounding investigations that don't reflect the specifics of the case in question, and inconsistency in how SOPs and QC standards are applied from one investigator to the next.</w:t>
      </w:r>
    </w:p>
    <w:p w14:paraId="2E7E9CD9" w14:textId="77777777" w:rsidR="00D10343" w:rsidRDefault="00000000">
      <w:pPr>
        <w:spacing w:before="80" w:after="100" w:line="276" w:lineRule="auto"/>
      </w:pPr>
      <w:r>
        <w:rPr>
          <w:rFonts w:ascii="Georgia" w:eastAsia="Georgia" w:hAnsi="Georgia" w:cs="Georgia"/>
          <w:color w:val="2C2C2C"/>
          <w:sz w:val="21"/>
          <w:szCs w:val="21"/>
        </w:rPr>
        <w:t>There is also a significant experience dependency. An investigator who has been on the team for a year or two knows exactly which parts of the data to focus on, which risk indicators matter for each case type, and which sections of the template they can move through quickly. They can assess a simple case in 20 minutes. A new starter looking at the same case doesn't have that instinct. They don't know what they can safely skip, so they have to look at everything, and the same case can take them well over an hour. It takes months for new investigators to build up the pattern recognition and system familiarity that experienced team members have. When experienced people leave, the team's throughput drops until their replacements get up to speed, and the cycle repeats.</w:t>
      </w:r>
    </w:p>
    <w:p w14:paraId="4A53EF52" w14:textId="77777777" w:rsidR="00D10343" w:rsidRDefault="00D10343">
      <w:pPr>
        <w:spacing w:before="200" w:after="40"/>
      </w:pPr>
    </w:p>
    <w:p w14:paraId="7ED7CA0E" w14:textId="77777777" w:rsidR="008A661F" w:rsidRDefault="008A661F">
      <w:pPr>
        <w:spacing w:before="200" w:after="40"/>
      </w:pPr>
    </w:p>
    <w:p w14:paraId="1111095D" w14:textId="77777777" w:rsidR="00D10343" w:rsidRDefault="00000000">
      <w:pPr>
        <w:spacing w:before="320" w:after="120"/>
      </w:pPr>
      <w:r>
        <w:rPr>
          <w:rFonts w:ascii="Arial" w:eastAsia="Arial" w:hAnsi="Arial" w:cs="Arial"/>
          <w:b/>
          <w:bCs/>
          <w:color w:val="2E4170"/>
          <w:sz w:val="24"/>
          <w:szCs w:val="24"/>
        </w:rPr>
        <w:lastRenderedPageBreak/>
        <w:t>2)  Objective</w:t>
      </w:r>
    </w:p>
    <w:p w14:paraId="55A0EFD4" w14:textId="77777777" w:rsidR="00D10343" w:rsidRDefault="00D10343">
      <w:pPr>
        <w:pBdr>
          <w:bottom w:val="single" w:sz="6" w:space="1" w:color="C8D0DC"/>
        </w:pBdr>
        <w:spacing w:before="200" w:after="200"/>
      </w:pPr>
    </w:p>
    <w:p w14:paraId="1A1D76F4" w14:textId="77777777" w:rsidR="00D10343" w:rsidRDefault="00000000">
      <w:pPr>
        <w:spacing w:before="80" w:after="100" w:line="276" w:lineRule="auto"/>
      </w:pPr>
      <w:r>
        <w:rPr>
          <w:rFonts w:ascii="Georgia" w:eastAsia="Georgia" w:hAnsi="Georgia" w:cs="Georgia"/>
          <w:color w:val="2C2C2C"/>
          <w:sz w:val="21"/>
          <w:szCs w:val="21"/>
        </w:rPr>
        <w:t>Reduce average case completion time to 15 to 20 minutes per case and level out the experience gap across the team by:</w:t>
      </w:r>
    </w:p>
    <w:p w14:paraId="7769276F"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Automating the data gathering and preprocessing so investigators start with a complete, structured case file rather than raw data spread across multiple systems.</w:t>
      </w:r>
    </w:p>
    <w:p w14:paraId="181AC164"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Providing AI-assisted investigation guidance that follows the team's SOPs, decision matrix, and QC standards on every case, every time. A new starter working through the platform gets the benefit of the team's accumulated knowledge and methodology from day one.</w:t>
      </w:r>
    </w:p>
    <w:p w14:paraId="5579DABD"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Generating fresh, case-specific analysis from the actual data rather than recycled narratives, eliminating copy-paste risk entirely.</w:t>
      </w:r>
    </w:p>
    <w:p w14:paraId="3EC97474"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Giving investigators a single interface for the full workflow: data, analysis, and case form output in one place.</w:t>
      </w:r>
    </w:p>
    <w:p w14:paraId="51856047"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Keeping the investigator in control throughout. The AI does the heavy lifting on data processing, cross-referencing, and drafting. The human evaluates the risk, applies their experience and judgment, and makes the final decision.</w:t>
      </w:r>
    </w:p>
    <w:p w14:paraId="04CB7158" w14:textId="77777777" w:rsidR="00D10343" w:rsidRDefault="00D10343">
      <w:pPr>
        <w:spacing w:before="120" w:after="80"/>
      </w:pPr>
    </w:p>
    <w:p w14:paraId="0BC7DF84" w14:textId="77777777" w:rsidR="00D10343" w:rsidRDefault="00000000">
      <w:pPr>
        <w:spacing w:before="80" w:after="100" w:line="276" w:lineRule="auto"/>
      </w:pPr>
      <w:r>
        <w:rPr>
          <w:rFonts w:ascii="Georgia" w:eastAsia="Georgia" w:hAnsi="Georgia" w:cs="Georgia"/>
          <w:color w:val="2C2C2C"/>
          <w:sz w:val="21"/>
          <w:szCs w:val="21"/>
        </w:rPr>
        <w:t>The platform is designed to be template-agnostic. It can produce output in any case file structure and can be adapted as reporting requirements evolve. The investigation engine, the data pipelines, the knowledge base, and the AI methodology all remain the same regardless of what the output format looks like. If the template changes, we update the instructions and output format. The platform itself doesn't need to be rebuilt.</w:t>
      </w:r>
    </w:p>
    <w:p w14:paraId="0DD67451" w14:textId="77777777" w:rsidR="00D10343" w:rsidRDefault="00D10343">
      <w:pPr>
        <w:spacing w:before="200" w:after="40"/>
      </w:pPr>
    </w:p>
    <w:p w14:paraId="77390517" w14:textId="77777777" w:rsidR="00D10343" w:rsidRDefault="00000000">
      <w:pPr>
        <w:spacing w:before="320" w:after="120"/>
      </w:pPr>
      <w:r>
        <w:rPr>
          <w:rFonts w:ascii="Arial" w:eastAsia="Arial" w:hAnsi="Arial" w:cs="Arial"/>
          <w:b/>
          <w:bCs/>
          <w:color w:val="2E4170"/>
          <w:sz w:val="24"/>
          <w:szCs w:val="24"/>
        </w:rPr>
        <w:t>3)  Proposed Change</w:t>
      </w:r>
    </w:p>
    <w:p w14:paraId="61853000" w14:textId="77777777" w:rsidR="00D10343" w:rsidRDefault="00D10343">
      <w:pPr>
        <w:pBdr>
          <w:bottom w:val="single" w:sz="6" w:space="1" w:color="C8D0DC"/>
        </w:pBdr>
        <w:spacing w:before="200" w:after="200"/>
      </w:pPr>
    </w:p>
    <w:p w14:paraId="4D8F5886" w14:textId="77777777" w:rsidR="00D10343" w:rsidRDefault="00000000">
      <w:pPr>
        <w:spacing w:before="80" w:after="100" w:line="276" w:lineRule="auto"/>
      </w:pPr>
      <w:r>
        <w:rPr>
          <w:rFonts w:ascii="Georgia" w:eastAsia="Georgia" w:hAnsi="Georgia" w:cs="Georgia"/>
          <w:color w:val="2C2C2C"/>
          <w:sz w:val="21"/>
          <w:szCs w:val="21"/>
        </w:rPr>
        <w:t>Replace the current multi-tool workflow with a standalone AI investigation platform built specifically for Level 2 FCI casework.</w:t>
      </w:r>
    </w:p>
    <w:p w14:paraId="0F43F56F" w14:textId="77777777" w:rsidR="00D10343" w:rsidRDefault="00D10343">
      <w:pPr>
        <w:spacing w:before="120" w:after="60"/>
      </w:pPr>
    </w:p>
    <w:p w14:paraId="3D2B5441" w14:textId="77777777" w:rsidR="00D10343" w:rsidRDefault="00000000">
      <w:pPr>
        <w:spacing w:before="160" w:after="80"/>
      </w:pPr>
      <w:r>
        <w:rPr>
          <w:rFonts w:ascii="Arial" w:eastAsia="Arial" w:hAnsi="Arial" w:cs="Arial"/>
          <w:b/>
          <w:bCs/>
          <w:color w:val="1A1A1A"/>
          <w:sz w:val="22"/>
          <w:szCs w:val="22"/>
        </w:rPr>
        <w:t>A.  What Has Been Built (Working Prototype)</w:t>
      </w:r>
    </w:p>
    <w:p w14:paraId="424C0C8B" w14:textId="77777777" w:rsidR="00D10343" w:rsidRDefault="00000000">
      <w:pPr>
        <w:spacing w:before="80" w:after="100" w:line="276" w:lineRule="auto"/>
      </w:pPr>
      <w:r>
        <w:rPr>
          <w:rFonts w:ascii="Georgia" w:eastAsia="Georgia" w:hAnsi="Georgia" w:cs="Georgia"/>
          <w:color w:val="2C2C2C"/>
          <w:sz w:val="21"/>
          <w:szCs w:val="21"/>
        </w:rPr>
        <w:t>A functional prototype is complete and ready for demonstration. It includes:</w:t>
      </w:r>
    </w:p>
    <w:p w14:paraId="7A89FC8C"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A custom investigation dashboard with case data and AI chat side by side, replacing the generic SAFU GPT interface.</w:t>
      </w:r>
    </w:p>
    <w:p w14:paraId="1AAA6EB6"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An AI investigation assistant powered by Anthropic Claude, with a knowledge base of 19 documents covering all SOPs, the decision matrix, QC checklist, escalation rules, and step-by-step case form guides.</w:t>
      </w:r>
    </w:p>
    <w:p w14:paraId="17660CAB"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Intelligent document retrieval: the AI consults reference documents on demand based on the case context, with a clear record of which documents informed each response.</w:t>
      </w:r>
    </w:p>
    <w:p w14:paraId="4100B9B6"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lastRenderedPageBreak/>
        <w:t xml:space="preserve">Pre-staged case data so investigators open a case and immediately see </w:t>
      </w:r>
      <w:proofErr w:type="spellStart"/>
      <w:r>
        <w:rPr>
          <w:rFonts w:ascii="Georgia" w:eastAsia="Georgia" w:hAnsi="Georgia" w:cs="Georgia"/>
          <w:color w:val="2C2C2C"/>
          <w:sz w:val="21"/>
          <w:szCs w:val="21"/>
        </w:rPr>
        <w:t>preprocessed</w:t>
      </w:r>
      <w:proofErr w:type="spellEnd"/>
      <w:r>
        <w:rPr>
          <w:rFonts w:ascii="Georgia" w:eastAsia="Georgia" w:hAnsi="Georgia" w:cs="Georgia"/>
          <w:color w:val="2C2C2C"/>
          <w:sz w:val="21"/>
          <w:szCs w:val="21"/>
        </w:rPr>
        <w:t xml:space="preserve"> data (counterparty analysis, wallet screening, KYC, prior investigations) without any manual collection.</w:t>
      </w:r>
    </w:p>
    <w:p w14:paraId="53E160CB"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 xml:space="preserve">Image support: investigators can paste or upload screenshots (KYC documents, </w:t>
      </w:r>
      <w:proofErr w:type="spellStart"/>
      <w:r>
        <w:rPr>
          <w:rFonts w:ascii="Georgia" w:eastAsia="Georgia" w:hAnsi="Georgia" w:cs="Georgia"/>
          <w:color w:val="2C2C2C"/>
          <w:sz w:val="21"/>
          <w:szCs w:val="21"/>
        </w:rPr>
        <w:t>Kodex</w:t>
      </w:r>
      <w:proofErr w:type="spellEnd"/>
      <w:r>
        <w:rPr>
          <w:rFonts w:ascii="Georgia" w:eastAsia="Georgia" w:hAnsi="Georgia" w:cs="Georgia"/>
          <w:color w:val="2C2C2C"/>
          <w:sz w:val="21"/>
          <w:szCs w:val="21"/>
        </w:rPr>
        <w:t xml:space="preserve"> records) directly into the chat for AI analysis.</w:t>
      </w:r>
    </w:p>
    <w:p w14:paraId="084B383F"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Streaming AI responses for a responsive investigation experience.</w:t>
      </w:r>
    </w:p>
    <w:p w14:paraId="48B97CF6"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PDF transcript export for record-keeping.</w:t>
      </w:r>
    </w:p>
    <w:p w14:paraId="0EFBCC6D" w14:textId="77777777" w:rsidR="00D10343" w:rsidRDefault="00D10343">
      <w:pPr>
        <w:spacing w:before="160" w:after="80"/>
      </w:pPr>
    </w:p>
    <w:p w14:paraId="6CDE2A04" w14:textId="77777777" w:rsidR="00D10343" w:rsidRDefault="00000000">
      <w:pPr>
        <w:spacing w:before="160" w:after="120"/>
      </w:pPr>
      <w:r>
        <w:rPr>
          <w:rFonts w:ascii="Arial" w:eastAsia="Arial" w:hAnsi="Arial" w:cs="Arial"/>
          <w:b/>
          <w:bCs/>
          <w:color w:val="1A1A1A"/>
          <w:sz w:val="22"/>
          <w:szCs w:val="22"/>
        </w:rPr>
        <w:t>B.  Phased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600"/>
        <w:gridCol w:w="1700"/>
        <w:gridCol w:w="2960"/>
      </w:tblGrid>
      <w:tr w:rsidR="00D10343" w14:paraId="7A857B6B" w14:textId="77777777">
        <w:tblPrEx>
          <w:tblCellMar>
            <w:top w:w="0" w:type="dxa"/>
            <w:bottom w:w="0" w:type="dxa"/>
          </w:tblCellMar>
        </w:tblPrEx>
        <w:trPr>
          <w:tblHeader/>
        </w:trPr>
        <w:tc>
          <w:tcPr>
            <w:tcW w:w="1100" w:type="dxa"/>
            <w:tcBorders>
              <w:top w:val="single" w:sz="4" w:space="0" w:color="C8D0DC"/>
              <w:left w:val="single" w:sz="4" w:space="0" w:color="C8D0DC"/>
              <w:bottom w:val="single" w:sz="4" w:space="0" w:color="C8D0DC"/>
              <w:right w:val="single" w:sz="4" w:space="0" w:color="C8D0DC"/>
            </w:tcBorders>
            <w:shd w:val="clear" w:color="auto" w:fill="D5DCE8"/>
            <w:tcMar>
              <w:top w:w="90" w:type="dxa"/>
              <w:left w:w="140" w:type="dxa"/>
              <w:bottom w:w="90" w:type="dxa"/>
              <w:right w:w="140" w:type="dxa"/>
            </w:tcMar>
            <w:vAlign w:val="center"/>
          </w:tcPr>
          <w:p w14:paraId="21FED30A" w14:textId="77777777" w:rsidR="00D10343" w:rsidRDefault="00000000">
            <w:r>
              <w:rPr>
                <w:rFonts w:ascii="Arial" w:eastAsia="Arial" w:hAnsi="Arial" w:cs="Arial"/>
                <w:b/>
                <w:bCs/>
                <w:color w:val="1B2A4A"/>
                <w:sz w:val="19"/>
                <w:szCs w:val="19"/>
              </w:rPr>
              <w:t>Phase</w:t>
            </w:r>
          </w:p>
        </w:tc>
        <w:tc>
          <w:tcPr>
            <w:tcW w:w="3600" w:type="dxa"/>
            <w:tcBorders>
              <w:top w:val="single" w:sz="4" w:space="0" w:color="C8D0DC"/>
              <w:left w:val="single" w:sz="4" w:space="0" w:color="C8D0DC"/>
              <w:bottom w:val="single" w:sz="4" w:space="0" w:color="C8D0DC"/>
              <w:right w:val="single" w:sz="4" w:space="0" w:color="C8D0DC"/>
            </w:tcBorders>
            <w:shd w:val="clear" w:color="auto" w:fill="D5DCE8"/>
            <w:tcMar>
              <w:top w:w="90" w:type="dxa"/>
              <w:left w:w="140" w:type="dxa"/>
              <w:bottom w:w="90" w:type="dxa"/>
              <w:right w:w="140" w:type="dxa"/>
            </w:tcMar>
            <w:vAlign w:val="center"/>
          </w:tcPr>
          <w:p w14:paraId="47F2FC93" w14:textId="77777777" w:rsidR="00D10343" w:rsidRDefault="00000000">
            <w:r>
              <w:rPr>
                <w:rFonts w:ascii="Arial" w:eastAsia="Arial" w:hAnsi="Arial" w:cs="Arial"/>
                <w:b/>
                <w:bCs/>
                <w:color w:val="1B2A4A"/>
                <w:sz w:val="19"/>
                <w:szCs w:val="19"/>
              </w:rPr>
              <w:t>What Gets Delivered</w:t>
            </w:r>
          </w:p>
        </w:tc>
        <w:tc>
          <w:tcPr>
            <w:tcW w:w="1700" w:type="dxa"/>
            <w:tcBorders>
              <w:top w:val="single" w:sz="4" w:space="0" w:color="C8D0DC"/>
              <w:left w:val="single" w:sz="4" w:space="0" w:color="C8D0DC"/>
              <w:bottom w:val="single" w:sz="4" w:space="0" w:color="C8D0DC"/>
              <w:right w:val="single" w:sz="4" w:space="0" w:color="C8D0DC"/>
            </w:tcBorders>
            <w:shd w:val="clear" w:color="auto" w:fill="D5DCE8"/>
            <w:tcMar>
              <w:top w:w="90" w:type="dxa"/>
              <w:left w:w="140" w:type="dxa"/>
              <w:bottom w:w="90" w:type="dxa"/>
              <w:right w:w="140" w:type="dxa"/>
            </w:tcMar>
            <w:vAlign w:val="center"/>
          </w:tcPr>
          <w:p w14:paraId="4FD07A5A" w14:textId="77777777" w:rsidR="00D10343" w:rsidRDefault="00000000">
            <w:r>
              <w:rPr>
                <w:rFonts w:ascii="Arial" w:eastAsia="Arial" w:hAnsi="Arial" w:cs="Arial"/>
                <w:b/>
                <w:bCs/>
                <w:color w:val="1B2A4A"/>
                <w:sz w:val="19"/>
                <w:szCs w:val="19"/>
              </w:rPr>
              <w:t>Timeline</w:t>
            </w:r>
          </w:p>
        </w:tc>
        <w:tc>
          <w:tcPr>
            <w:tcW w:w="2960" w:type="dxa"/>
            <w:tcBorders>
              <w:top w:val="single" w:sz="4" w:space="0" w:color="C8D0DC"/>
              <w:left w:val="single" w:sz="4" w:space="0" w:color="C8D0DC"/>
              <w:bottom w:val="single" w:sz="4" w:space="0" w:color="C8D0DC"/>
              <w:right w:val="single" w:sz="4" w:space="0" w:color="C8D0DC"/>
            </w:tcBorders>
            <w:shd w:val="clear" w:color="auto" w:fill="D5DCE8"/>
            <w:tcMar>
              <w:top w:w="90" w:type="dxa"/>
              <w:left w:w="140" w:type="dxa"/>
              <w:bottom w:w="90" w:type="dxa"/>
              <w:right w:w="140" w:type="dxa"/>
            </w:tcMar>
            <w:vAlign w:val="center"/>
          </w:tcPr>
          <w:p w14:paraId="0BF2BE91" w14:textId="77777777" w:rsidR="00D10343" w:rsidRDefault="00000000">
            <w:r>
              <w:rPr>
                <w:rFonts w:ascii="Arial" w:eastAsia="Arial" w:hAnsi="Arial" w:cs="Arial"/>
                <w:b/>
                <w:bCs/>
                <w:color w:val="1B2A4A"/>
                <w:sz w:val="19"/>
                <w:szCs w:val="19"/>
              </w:rPr>
              <w:t>Dependencies</w:t>
            </w:r>
          </w:p>
        </w:tc>
      </w:tr>
      <w:tr w:rsidR="00D10343" w14:paraId="06093522" w14:textId="77777777">
        <w:tblPrEx>
          <w:tblCellMar>
            <w:top w:w="0" w:type="dxa"/>
            <w:bottom w:w="0" w:type="dxa"/>
          </w:tblCellMar>
        </w:tblPrEx>
        <w:tc>
          <w:tcPr>
            <w:tcW w:w="110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6DDCA14B" w14:textId="77777777" w:rsidR="00D10343" w:rsidRDefault="00000000">
            <w:pPr>
              <w:spacing w:before="40" w:after="40" w:line="260" w:lineRule="auto"/>
            </w:pPr>
            <w:r>
              <w:rPr>
                <w:rFonts w:ascii="Georgia" w:eastAsia="Georgia" w:hAnsi="Georgia" w:cs="Georgia"/>
                <w:color w:val="2C2C2C"/>
                <w:sz w:val="19"/>
                <w:szCs w:val="19"/>
              </w:rPr>
              <w:t>Phase 1</w:t>
            </w:r>
          </w:p>
        </w:tc>
        <w:tc>
          <w:tcPr>
            <w:tcW w:w="360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4424A9F7" w14:textId="77777777" w:rsidR="00D10343" w:rsidRDefault="00000000">
            <w:pPr>
              <w:spacing w:before="40" w:after="40" w:line="260" w:lineRule="auto"/>
            </w:pPr>
            <w:r>
              <w:rPr>
                <w:rFonts w:ascii="Georgia" w:eastAsia="Georgia" w:hAnsi="Georgia" w:cs="Georgia"/>
                <w:color w:val="2C2C2C"/>
                <w:sz w:val="19"/>
                <w:szCs w:val="19"/>
              </w:rPr>
              <w:t>Working prototype with pre-staged demo cases. Ready for demonstration.</w:t>
            </w:r>
          </w:p>
        </w:tc>
        <w:tc>
          <w:tcPr>
            <w:tcW w:w="170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4D993BFA" w14:textId="77777777" w:rsidR="00D10343" w:rsidRDefault="00000000">
            <w:pPr>
              <w:spacing w:before="40" w:after="40" w:line="260" w:lineRule="auto"/>
            </w:pPr>
            <w:r>
              <w:rPr>
                <w:rFonts w:ascii="Georgia" w:eastAsia="Georgia" w:hAnsi="Georgia" w:cs="Georgia"/>
                <w:color w:val="2C2C2C"/>
                <w:sz w:val="19"/>
                <w:szCs w:val="19"/>
              </w:rPr>
              <w:t>Complete</w:t>
            </w:r>
          </w:p>
        </w:tc>
        <w:tc>
          <w:tcPr>
            <w:tcW w:w="296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0A9EB818" w14:textId="77777777" w:rsidR="00D10343" w:rsidRDefault="00000000">
            <w:pPr>
              <w:spacing w:before="40" w:after="40" w:line="260" w:lineRule="auto"/>
            </w:pPr>
            <w:proofErr w:type="spellStart"/>
            <w:r>
              <w:rPr>
                <w:rFonts w:ascii="Georgia" w:eastAsia="Georgia" w:hAnsi="Georgia" w:cs="Georgia"/>
                <w:color w:val="2C2C2C"/>
                <w:sz w:val="19"/>
                <w:szCs w:val="19"/>
              </w:rPr>
              <w:t>SafuAPI</w:t>
            </w:r>
            <w:proofErr w:type="spellEnd"/>
            <w:r>
              <w:rPr>
                <w:rFonts w:ascii="Georgia" w:eastAsia="Georgia" w:hAnsi="Georgia" w:cs="Georgia"/>
                <w:color w:val="2C2C2C"/>
                <w:sz w:val="19"/>
                <w:szCs w:val="19"/>
              </w:rPr>
              <w:t xml:space="preserve"> Anthropic key needed for deployment inside Binance network</w:t>
            </w:r>
          </w:p>
        </w:tc>
      </w:tr>
      <w:tr w:rsidR="00D10343" w14:paraId="60AA4026" w14:textId="77777777">
        <w:tblPrEx>
          <w:tblCellMar>
            <w:top w:w="0" w:type="dxa"/>
            <w:bottom w:w="0" w:type="dxa"/>
          </w:tblCellMar>
        </w:tblPrEx>
        <w:tc>
          <w:tcPr>
            <w:tcW w:w="110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2A48069C" w14:textId="77777777" w:rsidR="00D10343" w:rsidRDefault="00000000">
            <w:pPr>
              <w:spacing w:before="40" w:after="40" w:line="260" w:lineRule="auto"/>
            </w:pPr>
            <w:r>
              <w:rPr>
                <w:rFonts w:ascii="Georgia" w:eastAsia="Georgia" w:hAnsi="Georgia" w:cs="Georgia"/>
                <w:color w:val="2C2C2C"/>
                <w:sz w:val="19"/>
                <w:szCs w:val="19"/>
              </w:rPr>
              <w:t>Phase 2</w:t>
            </w:r>
          </w:p>
        </w:tc>
        <w:tc>
          <w:tcPr>
            <w:tcW w:w="360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28325D6C" w14:textId="77777777" w:rsidR="00D10343" w:rsidRDefault="00000000">
            <w:pPr>
              <w:spacing w:before="40" w:after="40" w:line="260" w:lineRule="auto"/>
            </w:pPr>
            <w:r>
              <w:rPr>
                <w:rFonts w:ascii="Georgia" w:eastAsia="Georgia" w:hAnsi="Georgia" w:cs="Georgia"/>
                <w:color w:val="2C2C2C"/>
                <w:sz w:val="19"/>
                <w:szCs w:val="19"/>
              </w:rPr>
              <w:t>Data ingestion portal. Investigators upload C360 spreadsheets, LE PDFs, Hexa text dumps, and other case materials into the platform. The backend processes and assembles the case file automatically. Locally deployed.</w:t>
            </w:r>
          </w:p>
        </w:tc>
        <w:tc>
          <w:tcPr>
            <w:tcW w:w="170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2F36CE67" w14:textId="77777777" w:rsidR="00D10343" w:rsidRDefault="00000000">
            <w:pPr>
              <w:spacing w:before="40" w:after="40" w:line="260" w:lineRule="auto"/>
            </w:pPr>
            <w:r>
              <w:rPr>
                <w:rFonts w:ascii="Georgia" w:eastAsia="Georgia" w:hAnsi="Georgia" w:cs="Georgia"/>
                <w:color w:val="2C2C2C"/>
                <w:sz w:val="19"/>
                <w:szCs w:val="19"/>
              </w:rPr>
              <w:t>2–3 weeks</w:t>
            </w:r>
          </w:p>
        </w:tc>
        <w:tc>
          <w:tcPr>
            <w:tcW w:w="296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64991AE9" w14:textId="77777777" w:rsidR="00D10343" w:rsidRDefault="00000000">
            <w:pPr>
              <w:spacing w:before="40" w:after="40" w:line="260" w:lineRule="auto"/>
            </w:pPr>
            <w:proofErr w:type="spellStart"/>
            <w:r>
              <w:rPr>
                <w:rFonts w:ascii="Georgia" w:eastAsia="Georgia" w:hAnsi="Georgia" w:cs="Georgia"/>
                <w:color w:val="2C2C2C"/>
                <w:sz w:val="19"/>
                <w:szCs w:val="19"/>
              </w:rPr>
              <w:t>SafuAPI</w:t>
            </w:r>
            <w:proofErr w:type="spellEnd"/>
            <w:r>
              <w:rPr>
                <w:rFonts w:ascii="Georgia" w:eastAsia="Georgia" w:hAnsi="Georgia" w:cs="Georgia"/>
                <w:color w:val="2C2C2C"/>
                <w:sz w:val="19"/>
                <w:szCs w:val="19"/>
              </w:rPr>
              <w:t xml:space="preserve"> key, Elliptic API key</w:t>
            </w:r>
          </w:p>
        </w:tc>
      </w:tr>
      <w:tr w:rsidR="00D10343" w14:paraId="37500084" w14:textId="77777777">
        <w:tblPrEx>
          <w:tblCellMar>
            <w:top w:w="0" w:type="dxa"/>
            <w:bottom w:w="0" w:type="dxa"/>
          </w:tblCellMar>
        </w:tblPrEx>
        <w:tc>
          <w:tcPr>
            <w:tcW w:w="110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7E6BD408" w14:textId="77777777" w:rsidR="00D10343" w:rsidRDefault="00000000">
            <w:pPr>
              <w:spacing w:before="40" w:after="40" w:line="260" w:lineRule="auto"/>
            </w:pPr>
            <w:r>
              <w:rPr>
                <w:rFonts w:ascii="Georgia" w:eastAsia="Georgia" w:hAnsi="Georgia" w:cs="Georgia"/>
                <w:color w:val="2C2C2C"/>
                <w:sz w:val="19"/>
                <w:szCs w:val="19"/>
              </w:rPr>
              <w:t>Phase 3</w:t>
            </w:r>
          </w:p>
        </w:tc>
        <w:tc>
          <w:tcPr>
            <w:tcW w:w="360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09B23C22" w14:textId="77777777" w:rsidR="00D10343" w:rsidRDefault="00000000">
            <w:pPr>
              <w:spacing w:before="40" w:after="40" w:line="260" w:lineRule="auto"/>
            </w:pPr>
            <w:r>
              <w:rPr>
                <w:rFonts w:ascii="Georgia" w:eastAsia="Georgia" w:hAnsi="Georgia" w:cs="Georgia"/>
                <w:color w:val="2C2C2C"/>
                <w:sz w:val="19"/>
                <w:szCs w:val="19"/>
              </w:rPr>
              <w:t>Deploy to shared infrastructure so other investigators can access it.</w:t>
            </w:r>
          </w:p>
        </w:tc>
        <w:tc>
          <w:tcPr>
            <w:tcW w:w="170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15B99655" w14:textId="77777777" w:rsidR="00D10343" w:rsidRDefault="00000000">
            <w:pPr>
              <w:spacing w:before="40" w:after="40" w:line="260" w:lineRule="auto"/>
            </w:pPr>
            <w:r>
              <w:rPr>
                <w:rFonts w:ascii="Georgia" w:eastAsia="Georgia" w:hAnsi="Georgia" w:cs="Georgia"/>
                <w:color w:val="2C2C2C"/>
                <w:sz w:val="19"/>
                <w:szCs w:val="19"/>
              </w:rPr>
              <w:t>Depends on IT and infrastructure support</w:t>
            </w:r>
          </w:p>
        </w:tc>
        <w:tc>
          <w:tcPr>
            <w:tcW w:w="296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0BC8F447" w14:textId="77777777" w:rsidR="00D10343" w:rsidRDefault="00000000">
            <w:pPr>
              <w:spacing w:before="40" w:after="40" w:line="260" w:lineRule="auto"/>
            </w:pPr>
            <w:r>
              <w:rPr>
                <w:rFonts w:ascii="Georgia" w:eastAsia="Georgia" w:hAnsi="Georgia" w:cs="Georgia"/>
                <w:color w:val="2C2C2C"/>
                <w:sz w:val="19"/>
                <w:szCs w:val="19"/>
              </w:rPr>
              <w:t>VM provisioning, MongoDB setup, network access</w:t>
            </w:r>
          </w:p>
        </w:tc>
      </w:tr>
      <w:tr w:rsidR="00D10343" w14:paraId="68CA8B55" w14:textId="77777777">
        <w:tblPrEx>
          <w:tblCellMar>
            <w:top w:w="0" w:type="dxa"/>
            <w:bottom w:w="0" w:type="dxa"/>
          </w:tblCellMar>
        </w:tblPrEx>
        <w:tc>
          <w:tcPr>
            <w:tcW w:w="110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13308EB0" w14:textId="77777777" w:rsidR="00D10343" w:rsidRDefault="00000000">
            <w:pPr>
              <w:spacing w:before="40" w:after="40" w:line="260" w:lineRule="auto"/>
            </w:pPr>
            <w:r>
              <w:rPr>
                <w:rFonts w:ascii="Georgia" w:eastAsia="Georgia" w:hAnsi="Georgia" w:cs="Georgia"/>
                <w:color w:val="2C2C2C"/>
                <w:sz w:val="19"/>
                <w:szCs w:val="19"/>
              </w:rPr>
              <w:t>Phase 4</w:t>
            </w:r>
          </w:p>
        </w:tc>
        <w:tc>
          <w:tcPr>
            <w:tcW w:w="360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48DEBB65" w14:textId="77777777" w:rsidR="00D10343" w:rsidRDefault="00000000">
            <w:pPr>
              <w:spacing w:before="40" w:after="40" w:line="260" w:lineRule="auto"/>
            </w:pPr>
            <w:r>
              <w:rPr>
                <w:rFonts w:ascii="Georgia" w:eastAsia="Georgia" w:hAnsi="Georgia" w:cs="Georgia"/>
                <w:color w:val="2C2C2C"/>
                <w:sz w:val="19"/>
                <w:szCs w:val="19"/>
              </w:rPr>
              <w:t>Controlled pilot with 2–3 investigators on real cases. Measure throughput, QC pass rates, and gather feedback.</w:t>
            </w:r>
          </w:p>
        </w:tc>
        <w:tc>
          <w:tcPr>
            <w:tcW w:w="170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23C7FA25" w14:textId="77777777" w:rsidR="00D10343" w:rsidRDefault="00000000">
            <w:pPr>
              <w:spacing w:before="40" w:after="40" w:line="260" w:lineRule="auto"/>
            </w:pPr>
            <w:r>
              <w:rPr>
                <w:rFonts w:ascii="Georgia" w:eastAsia="Georgia" w:hAnsi="Georgia" w:cs="Georgia"/>
                <w:color w:val="2C2C2C"/>
                <w:sz w:val="19"/>
                <w:szCs w:val="19"/>
              </w:rPr>
              <w:t>2–4 weeks after deployment</w:t>
            </w:r>
          </w:p>
        </w:tc>
        <w:tc>
          <w:tcPr>
            <w:tcW w:w="296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49D418DC" w14:textId="77777777" w:rsidR="00D10343" w:rsidRDefault="00000000">
            <w:pPr>
              <w:spacing w:before="40" w:after="40" w:line="260" w:lineRule="auto"/>
            </w:pPr>
            <w:r>
              <w:rPr>
                <w:rFonts w:ascii="Georgia" w:eastAsia="Georgia" w:hAnsi="Georgia" w:cs="Georgia"/>
                <w:color w:val="2C2C2C"/>
                <w:sz w:val="19"/>
                <w:szCs w:val="19"/>
              </w:rPr>
              <w:t>Investigator availability, management oversight</w:t>
            </w:r>
          </w:p>
        </w:tc>
      </w:tr>
      <w:tr w:rsidR="00D10343" w14:paraId="33F62F91" w14:textId="77777777">
        <w:tblPrEx>
          <w:tblCellMar>
            <w:top w:w="0" w:type="dxa"/>
            <w:bottom w:w="0" w:type="dxa"/>
          </w:tblCellMar>
        </w:tblPrEx>
        <w:tc>
          <w:tcPr>
            <w:tcW w:w="110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3D502CCC" w14:textId="77777777" w:rsidR="00D10343" w:rsidRDefault="00000000">
            <w:pPr>
              <w:spacing w:before="40" w:after="40" w:line="260" w:lineRule="auto"/>
            </w:pPr>
            <w:r>
              <w:rPr>
                <w:rFonts w:ascii="Georgia" w:eastAsia="Georgia" w:hAnsi="Georgia" w:cs="Georgia"/>
                <w:color w:val="2C2C2C"/>
                <w:sz w:val="19"/>
                <w:szCs w:val="19"/>
              </w:rPr>
              <w:t>Long term</w:t>
            </w:r>
          </w:p>
        </w:tc>
        <w:tc>
          <w:tcPr>
            <w:tcW w:w="360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47D35DAF" w14:textId="77777777" w:rsidR="00D10343" w:rsidRDefault="00000000">
            <w:pPr>
              <w:spacing w:before="40" w:after="40" w:line="260" w:lineRule="auto"/>
            </w:pPr>
            <w:r>
              <w:rPr>
                <w:rFonts w:ascii="Georgia" w:eastAsia="Georgia" w:hAnsi="Georgia" w:cs="Georgia"/>
                <w:color w:val="2C2C2C"/>
                <w:sz w:val="19"/>
                <w:szCs w:val="19"/>
              </w:rPr>
              <w:t xml:space="preserve">Full automation. Most data pipelines feeding into the platform automatically, removing the need for manual data collection altogether. Manual input only for systems without API access (e.g. </w:t>
            </w:r>
            <w:proofErr w:type="spellStart"/>
            <w:r>
              <w:rPr>
                <w:rFonts w:ascii="Georgia" w:eastAsia="Georgia" w:hAnsi="Georgia" w:cs="Georgia"/>
                <w:color w:val="2C2C2C"/>
                <w:sz w:val="19"/>
                <w:szCs w:val="19"/>
              </w:rPr>
              <w:t>Kodex</w:t>
            </w:r>
            <w:proofErr w:type="spellEnd"/>
            <w:r>
              <w:rPr>
                <w:rFonts w:ascii="Georgia" w:eastAsia="Georgia" w:hAnsi="Georgia" w:cs="Georgia"/>
                <w:color w:val="2C2C2C"/>
                <w:sz w:val="19"/>
                <w:szCs w:val="19"/>
              </w:rPr>
              <w:t>).</w:t>
            </w:r>
          </w:p>
        </w:tc>
        <w:tc>
          <w:tcPr>
            <w:tcW w:w="170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12BDD8AB" w14:textId="77777777" w:rsidR="00D10343" w:rsidRDefault="00000000">
            <w:pPr>
              <w:spacing w:before="40" w:after="40" w:line="260" w:lineRule="auto"/>
            </w:pPr>
            <w:r>
              <w:rPr>
                <w:rFonts w:ascii="Georgia" w:eastAsia="Georgia" w:hAnsi="Georgia" w:cs="Georgia"/>
                <w:color w:val="2C2C2C"/>
                <w:sz w:val="19"/>
                <w:szCs w:val="19"/>
              </w:rPr>
              <w:t>~</w:t>
            </w:r>
            <w:proofErr w:type="gramStart"/>
            <w:r>
              <w:rPr>
                <w:rFonts w:ascii="Georgia" w:eastAsia="Georgia" w:hAnsi="Georgia" w:cs="Georgia"/>
                <w:color w:val="2C2C2C"/>
                <w:sz w:val="19"/>
                <w:szCs w:val="19"/>
              </w:rPr>
              <w:t>6 month</w:t>
            </w:r>
            <w:proofErr w:type="gramEnd"/>
            <w:r>
              <w:rPr>
                <w:rFonts w:ascii="Georgia" w:eastAsia="Georgia" w:hAnsi="Georgia" w:cs="Georgia"/>
                <w:color w:val="2C2C2C"/>
                <w:sz w:val="19"/>
                <w:szCs w:val="19"/>
              </w:rPr>
              <w:t xml:space="preserve"> horizon</w:t>
            </w:r>
          </w:p>
        </w:tc>
        <w:tc>
          <w:tcPr>
            <w:tcW w:w="296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182DE6A6" w14:textId="77777777" w:rsidR="00D10343" w:rsidRDefault="00000000">
            <w:pPr>
              <w:spacing w:before="40" w:after="40" w:line="260" w:lineRule="auto"/>
            </w:pPr>
            <w:r>
              <w:rPr>
                <w:rFonts w:ascii="Georgia" w:eastAsia="Georgia" w:hAnsi="Georgia" w:cs="Georgia"/>
                <w:color w:val="2C2C2C"/>
                <w:sz w:val="19"/>
                <w:szCs w:val="19"/>
              </w:rPr>
              <w:t>API access to internal systems</w:t>
            </w:r>
          </w:p>
        </w:tc>
      </w:tr>
    </w:tbl>
    <w:p w14:paraId="068BAF89" w14:textId="77777777" w:rsidR="00D10343" w:rsidRDefault="00D10343">
      <w:pPr>
        <w:spacing w:before="120" w:after="80"/>
      </w:pPr>
    </w:p>
    <w:p w14:paraId="37D9D6CA" w14:textId="77777777" w:rsidR="00D10343" w:rsidRDefault="00000000">
      <w:pPr>
        <w:spacing w:before="80" w:after="100" w:line="276" w:lineRule="auto"/>
      </w:pPr>
      <w:r>
        <w:rPr>
          <w:rFonts w:ascii="Georgia" w:eastAsia="Georgia" w:hAnsi="Georgia" w:cs="Georgia"/>
          <w:color w:val="2C2C2C"/>
          <w:sz w:val="21"/>
          <w:szCs w:val="21"/>
        </w:rPr>
        <w:t>The C360 spreadsheet processing pipeline and Elliptic API integration code already exist as working software built during the current workflow. Phase 2 is primarily about incorporating these into the platform front end and building the additional ingestion capabilities (LE PDF extraction, Hexa text parsing).</w:t>
      </w:r>
    </w:p>
    <w:p w14:paraId="3B11C9D1" w14:textId="77777777" w:rsidR="00D10343" w:rsidRDefault="00D10343">
      <w:pPr>
        <w:spacing w:before="200" w:after="40"/>
      </w:pPr>
    </w:p>
    <w:p w14:paraId="48670AC0" w14:textId="77777777" w:rsidR="008A661F" w:rsidRDefault="008A661F">
      <w:pPr>
        <w:spacing w:before="200" w:after="40"/>
      </w:pPr>
    </w:p>
    <w:p w14:paraId="091F2448" w14:textId="77777777" w:rsidR="008A661F" w:rsidRDefault="008A661F">
      <w:pPr>
        <w:spacing w:before="200" w:after="40"/>
      </w:pPr>
    </w:p>
    <w:p w14:paraId="347826E0" w14:textId="77777777" w:rsidR="00D10343" w:rsidRDefault="00000000">
      <w:pPr>
        <w:spacing w:before="320" w:after="120"/>
      </w:pPr>
      <w:r>
        <w:rPr>
          <w:rFonts w:ascii="Arial" w:eastAsia="Arial" w:hAnsi="Arial" w:cs="Arial"/>
          <w:b/>
          <w:bCs/>
          <w:color w:val="2E4170"/>
          <w:sz w:val="24"/>
          <w:szCs w:val="24"/>
        </w:rPr>
        <w:lastRenderedPageBreak/>
        <w:t>4)  Before vs After (Leadership View)</w:t>
      </w:r>
    </w:p>
    <w:p w14:paraId="007831F3" w14:textId="77777777" w:rsidR="00D10343" w:rsidRDefault="00D10343">
      <w:pPr>
        <w:pBdr>
          <w:bottom w:val="single" w:sz="6" w:space="1" w:color="C8D0DC"/>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640"/>
        <w:gridCol w:w="3640"/>
      </w:tblGrid>
      <w:tr w:rsidR="00D10343" w14:paraId="4AA7C711" w14:textId="77777777">
        <w:tblPrEx>
          <w:tblCellMar>
            <w:top w:w="0" w:type="dxa"/>
            <w:bottom w:w="0" w:type="dxa"/>
          </w:tblCellMar>
        </w:tblPrEx>
        <w:trPr>
          <w:tblHeader/>
        </w:trPr>
        <w:tc>
          <w:tcPr>
            <w:tcW w:w="2080" w:type="dxa"/>
            <w:tcBorders>
              <w:top w:val="single" w:sz="4" w:space="0" w:color="C8D0DC"/>
              <w:left w:val="single" w:sz="4" w:space="0" w:color="C8D0DC"/>
              <w:bottom w:val="single" w:sz="4" w:space="0" w:color="C8D0DC"/>
              <w:right w:val="single" w:sz="4" w:space="0" w:color="C8D0DC"/>
            </w:tcBorders>
            <w:shd w:val="clear" w:color="auto" w:fill="D5DCE8"/>
            <w:tcMar>
              <w:top w:w="90" w:type="dxa"/>
              <w:left w:w="140" w:type="dxa"/>
              <w:bottom w:w="90" w:type="dxa"/>
              <w:right w:w="140" w:type="dxa"/>
            </w:tcMar>
            <w:vAlign w:val="center"/>
          </w:tcPr>
          <w:p w14:paraId="1E20F133" w14:textId="77777777" w:rsidR="00D10343" w:rsidRDefault="00000000">
            <w:r>
              <w:rPr>
                <w:rFonts w:ascii="Arial" w:eastAsia="Arial" w:hAnsi="Arial" w:cs="Arial"/>
                <w:b/>
                <w:bCs/>
                <w:color w:val="1B2A4A"/>
                <w:sz w:val="19"/>
                <w:szCs w:val="19"/>
              </w:rPr>
              <w:t>Dimension</w:t>
            </w:r>
          </w:p>
        </w:tc>
        <w:tc>
          <w:tcPr>
            <w:tcW w:w="3640" w:type="dxa"/>
            <w:tcBorders>
              <w:top w:val="single" w:sz="4" w:space="0" w:color="C8D0DC"/>
              <w:left w:val="single" w:sz="4" w:space="0" w:color="C8D0DC"/>
              <w:bottom w:val="single" w:sz="4" w:space="0" w:color="C8D0DC"/>
              <w:right w:val="single" w:sz="4" w:space="0" w:color="C8D0DC"/>
            </w:tcBorders>
            <w:shd w:val="clear" w:color="auto" w:fill="D5DCE8"/>
            <w:tcMar>
              <w:top w:w="90" w:type="dxa"/>
              <w:left w:w="140" w:type="dxa"/>
              <w:bottom w:w="90" w:type="dxa"/>
              <w:right w:w="140" w:type="dxa"/>
            </w:tcMar>
            <w:vAlign w:val="center"/>
          </w:tcPr>
          <w:p w14:paraId="70D1F4A9" w14:textId="77777777" w:rsidR="00D10343" w:rsidRDefault="00000000">
            <w:r>
              <w:rPr>
                <w:rFonts w:ascii="Arial" w:eastAsia="Arial" w:hAnsi="Arial" w:cs="Arial"/>
                <w:b/>
                <w:bCs/>
                <w:color w:val="1B2A4A"/>
                <w:sz w:val="19"/>
                <w:szCs w:val="19"/>
              </w:rPr>
              <w:t>Current Workflow</w:t>
            </w:r>
          </w:p>
        </w:tc>
        <w:tc>
          <w:tcPr>
            <w:tcW w:w="3640" w:type="dxa"/>
            <w:tcBorders>
              <w:top w:val="single" w:sz="4" w:space="0" w:color="C8D0DC"/>
              <w:left w:val="single" w:sz="4" w:space="0" w:color="C8D0DC"/>
              <w:bottom w:val="single" w:sz="4" w:space="0" w:color="C8D0DC"/>
              <w:right w:val="single" w:sz="4" w:space="0" w:color="C8D0DC"/>
            </w:tcBorders>
            <w:shd w:val="clear" w:color="auto" w:fill="D5DCE8"/>
            <w:tcMar>
              <w:top w:w="90" w:type="dxa"/>
              <w:left w:w="140" w:type="dxa"/>
              <w:bottom w:w="90" w:type="dxa"/>
              <w:right w:w="140" w:type="dxa"/>
            </w:tcMar>
            <w:vAlign w:val="center"/>
          </w:tcPr>
          <w:p w14:paraId="41A3F982" w14:textId="77777777" w:rsidR="00D10343" w:rsidRDefault="00000000">
            <w:r>
              <w:rPr>
                <w:rFonts w:ascii="Arial" w:eastAsia="Arial" w:hAnsi="Arial" w:cs="Arial"/>
                <w:b/>
                <w:bCs/>
                <w:color w:val="1B2A4A"/>
                <w:sz w:val="19"/>
                <w:szCs w:val="19"/>
              </w:rPr>
              <w:t>With the Platform</w:t>
            </w:r>
          </w:p>
        </w:tc>
      </w:tr>
      <w:tr w:rsidR="00D10343" w14:paraId="6F1B76D0" w14:textId="77777777">
        <w:tblPrEx>
          <w:tblCellMar>
            <w:top w:w="0" w:type="dxa"/>
            <w:bottom w:w="0" w:type="dxa"/>
          </w:tblCellMar>
        </w:tblPrEx>
        <w:tc>
          <w:tcPr>
            <w:tcW w:w="20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218CC506" w14:textId="77777777" w:rsidR="00D10343" w:rsidRDefault="00000000">
            <w:pPr>
              <w:spacing w:before="40" w:after="40" w:line="260" w:lineRule="auto"/>
            </w:pPr>
            <w:r>
              <w:rPr>
                <w:rFonts w:ascii="Georgia" w:eastAsia="Georgia" w:hAnsi="Georgia" w:cs="Georgia"/>
                <w:color w:val="2C2C2C"/>
                <w:sz w:val="19"/>
                <w:szCs w:val="19"/>
              </w:rPr>
              <w:t>Time per case</w:t>
            </w:r>
          </w:p>
        </w:tc>
        <w:tc>
          <w:tcPr>
            <w:tcW w:w="3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306F3599" w14:textId="77777777" w:rsidR="00D10343" w:rsidRDefault="00000000">
            <w:pPr>
              <w:spacing w:before="40" w:after="40" w:line="260" w:lineRule="auto"/>
            </w:pPr>
            <w:r>
              <w:rPr>
                <w:rFonts w:ascii="Georgia" w:eastAsia="Georgia" w:hAnsi="Georgia" w:cs="Georgia"/>
                <w:color w:val="2C2C2C"/>
                <w:sz w:val="19"/>
                <w:szCs w:val="19"/>
              </w:rPr>
              <w:t>20 min (experienced, simple case) to 60–90 min (complex or less experienced)</w:t>
            </w:r>
          </w:p>
        </w:tc>
        <w:tc>
          <w:tcPr>
            <w:tcW w:w="3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3567EDD3" w14:textId="77777777" w:rsidR="00D10343" w:rsidRDefault="00000000">
            <w:pPr>
              <w:spacing w:before="40" w:after="40" w:line="260" w:lineRule="auto"/>
            </w:pPr>
            <w:r>
              <w:rPr>
                <w:rFonts w:ascii="Georgia" w:eastAsia="Georgia" w:hAnsi="Georgia" w:cs="Georgia"/>
                <w:color w:val="2C2C2C"/>
                <w:sz w:val="19"/>
                <w:szCs w:val="19"/>
              </w:rPr>
              <w:t>Target: 15–20 minutes consistently across all investigators</w:t>
            </w:r>
          </w:p>
        </w:tc>
      </w:tr>
      <w:tr w:rsidR="00D10343" w14:paraId="51011CFC" w14:textId="77777777">
        <w:tblPrEx>
          <w:tblCellMar>
            <w:top w:w="0" w:type="dxa"/>
            <w:bottom w:w="0" w:type="dxa"/>
          </w:tblCellMar>
        </w:tblPrEx>
        <w:tc>
          <w:tcPr>
            <w:tcW w:w="208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0BAA0E7D" w14:textId="77777777" w:rsidR="00D10343" w:rsidRDefault="00000000">
            <w:pPr>
              <w:spacing w:before="40" w:after="40" w:line="260" w:lineRule="auto"/>
            </w:pPr>
            <w:r>
              <w:rPr>
                <w:rFonts w:ascii="Georgia" w:eastAsia="Georgia" w:hAnsi="Georgia" w:cs="Georgia"/>
                <w:color w:val="2C2C2C"/>
                <w:sz w:val="19"/>
                <w:szCs w:val="19"/>
              </w:rPr>
              <w:t>Case throughput</w:t>
            </w:r>
          </w:p>
        </w:tc>
        <w:tc>
          <w:tcPr>
            <w:tcW w:w="364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15FA8DE1" w14:textId="77777777" w:rsidR="00D10343" w:rsidRDefault="00000000">
            <w:pPr>
              <w:spacing w:before="40" w:after="40" w:line="260" w:lineRule="auto"/>
            </w:pPr>
            <w:r>
              <w:rPr>
                <w:rFonts w:ascii="Georgia" w:eastAsia="Georgia" w:hAnsi="Georgia" w:cs="Georgia"/>
                <w:color w:val="2C2C2C"/>
                <w:sz w:val="19"/>
                <w:szCs w:val="19"/>
              </w:rPr>
              <w:t>~6 cases/day per investigator</w:t>
            </w:r>
          </w:p>
        </w:tc>
        <w:tc>
          <w:tcPr>
            <w:tcW w:w="364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4821BA9E" w14:textId="77777777" w:rsidR="00D10343" w:rsidRDefault="00000000">
            <w:pPr>
              <w:spacing w:before="40" w:after="40" w:line="260" w:lineRule="auto"/>
            </w:pPr>
            <w:r>
              <w:rPr>
                <w:rFonts w:ascii="Georgia" w:eastAsia="Georgia" w:hAnsi="Georgia" w:cs="Georgia"/>
                <w:color w:val="2C2C2C"/>
                <w:sz w:val="19"/>
                <w:szCs w:val="19"/>
              </w:rPr>
              <w:t>Target: 10+ cases/day</w:t>
            </w:r>
          </w:p>
        </w:tc>
      </w:tr>
      <w:tr w:rsidR="00D10343" w14:paraId="7CEB84F2" w14:textId="77777777">
        <w:tblPrEx>
          <w:tblCellMar>
            <w:top w:w="0" w:type="dxa"/>
            <w:bottom w:w="0" w:type="dxa"/>
          </w:tblCellMar>
        </w:tblPrEx>
        <w:tc>
          <w:tcPr>
            <w:tcW w:w="20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32C1C45E" w14:textId="77777777" w:rsidR="00D10343" w:rsidRDefault="00000000">
            <w:pPr>
              <w:spacing w:before="40" w:after="40" w:line="260" w:lineRule="auto"/>
            </w:pPr>
            <w:r>
              <w:rPr>
                <w:rFonts w:ascii="Georgia" w:eastAsia="Georgia" w:hAnsi="Georgia" w:cs="Georgia"/>
                <w:color w:val="2C2C2C"/>
                <w:sz w:val="19"/>
                <w:szCs w:val="19"/>
              </w:rPr>
              <w:t>Data gathering</w:t>
            </w:r>
          </w:p>
        </w:tc>
        <w:tc>
          <w:tcPr>
            <w:tcW w:w="3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4E97154D" w14:textId="77777777" w:rsidR="00D10343" w:rsidRDefault="00000000">
            <w:pPr>
              <w:spacing w:before="40" w:after="40" w:line="260" w:lineRule="auto"/>
            </w:pPr>
            <w:r>
              <w:rPr>
                <w:rFonts w:ascii="Georgia" w:eastAsia="Georgia" w:hAnsi="Georgia" w:cs="Georgia"/>
                <w:color w:val="2C2C2C"/>
                <w:sz w:val="19"/>
                <w:szCs w:val="19"/>
              </w:rPr>
              <w:t>Manual, 15–20 min across 5–6 systems per case</w:t>
            </w:r>
          </w:p>
        </w:tc>
        <w:tc>
          <w:tcPr>
            <w:tcW w:w="3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15190BEF" w14:textId="77777777" w:rsidR="00D10343" w:rsidRDefault="00000000">
            <w:pPr>
              <w:spacing w:before="40" w:after="40" w:line="260" w:lineRule="auto"/>
            </w:pPr>
            <w:r>
              <w:rPr>
                <w:rFonts w:ascii="Georgia" w:eastAsia="Georgia" w:hAnsi="Georgia" w:cs="Georgia"/>
                <w:color w:val="2C2C2C"/>
                <w:sz w:val="19"/>
                <w:szCs w:val="19"/>
              </w:rPr>
              <w:t>Automated. Case data structured and ready when the investigator opens the case</w:t>
            </w:r>
          </w:p>
        </w:tc>
      </w:tr>
      <w:tr w:rsidR="00D10343" w14:paraId="3863DD8D" w14:textId="77777777">
        <w:tblPrEx>
          <w:tblCellMar>
            <w:top w:w="0" w:type="dxa"/>
            <w:bottom w:w="0" w:type="dxa"/>
          </w:tblCellMar>
        </w:tblPrEx>
        <w:tc>
          <w:tcPr>
            <w:tcW w:w="208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72582FCC" w14:textId="77777777" w:rsidR="00D10343" w:rsidRDefault="00000000">
            <w:pPr>
              <w:spacing w:before="40" w:after="40" w:line="260" w:lineRule="auto"/>
            </w:pPr>
            <w:r>
              <w:rPr>
                <w:rFonts w:ascii="Georgia" w:eastAsia="Georgia" w:hAnsi="Georgia" w:cs="Georgia"/>
                <w:color w:val="2C2C2C"/>
                <w:sz w:val="19"/>
                <w:szCs w:val="19"/>
              </w:rPr>
              <w:t>Investigation consistency</w:t>
            </w:r>
          </w:p>
        </w:tc>
        <w:tc>
          <w:tcPr>
            <w:tcW w:w="364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3C2E96ED" w14:textId="77777777" w:rsidR="00D10343" w:rsidRDefault="00000000">
            <w:pPr>
              <w:spacing w:before="40" w:after="40" w:line="260" w:lineRule="auto"/>
            </w:pPr>
            <w:r>
              <w:rPr>
                <w:rFonts w:ascii="Georgia" w:eastAsia="Georgia" w:hAnsi="Georgia" w:cs="Georgia"/>
                <w:color w:val="2C2C2C"/>
                <w:sz w:val="19"/>
                <w:szCs w:val="19"/>
              </w:rPr>
              <w:t>Varies by experience, SOP familiarity, and individual approach</w:t>
            </w:r>
          </w:p>
        </w:tc>
        <w:tc>
          <w:tcPr>
            <w:tcW w:w="364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6260D8A3" w14:textId="77777777" w:rsidR="00D10343" w:rsidRDefault="00000000">
            <w:pPr>
              <w:spacing w:before="40" w:after="40" w:line="260" w:lineRule="auto"/>
            </w:pPr>
            <w:r>
              <w:rPr>
                <w:rFonts w:ascii="Georgia" w:eastAsia="Georgia" w:hAnsi="Georgia" w:cs="Georgia"/>
                <w:color w:val="2C2C2C"/>
                <w:sz w:val="19"/>
                <w:szCs w:val="19"/>
              </w:rPr>
              <w:t>AI follows the same methodology, SOPs, and QC standards on every case</w:t>
            </w:r>
          </w:p>
        </w:tc>
      </w:tr>
      <w:tr w:rsidR="00D10343" w14:paraId="0E185250" w14:textId="77777777">
        <w:tblPrEx>
          <w:tblCellMar>
            <w:top w:w="0" w:type="dxa"/>
            <w:bottom w:w="0" w:type="dxa"/>
          </w:tblCellMar>
        </w:tblPrEx>
        <w:tc>
          <w:tcPr>
            <w:tcW w:w="20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6A37391F" w14:textId="77777777" w:rsidR="00D10343" w:rsidRDefault="00000000">
            <w:pPr>
              <w:spacing w:before="40" w:after="40" w:line="260" w:lineRule="auto"/>
            </w:pPr>
            <w:r>
              <w:rPr>
                <w:rFonts w:ascii="Georgia" w:eastAsia="Georgia" w:hAnsi="Georgia" w:cs="Georgia"/>
                <w:color w:val="2C2C2C"/>
                <w:sz w:val="19"/>
                <w:szCs w:val="19"/>
              </w:rPr>
              <w:t>Copy-paste risk</w:t>
            </w:r>
          </w:p>
        </w:tc>
        <w:tc>
          <w:tcPr>
            <w:tcW w:w="3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63973E5D" w14:textId="77777777" w:rsidR="00D10343" w:rsidRDefault="00000000">
            <w:pPr>
              <w:spacing w:before="40" w:after="40" w:line="260" w:lineRule="auto"/>
            </w:pPr>
            <w:r>
              <w:rPr>
                <w:rFonts w:ascii="Georgia" w:eastAsia="Georgia" w:hAnsi="Georgia" w:cs="Georgia"/>
                <w:color w:val="2C2C2C"/>
                <w:sz w:val="19"/>
                <w:szCs w:val="19"/>
              </w:rPr>
              <w:t>Common. Recycled narratives, boilerplate paragraphs, details from previous cases left in</w:t>
            </w:r>
          </w:p>
        </w:tc>
        <w:tc>
          <w:tcPr>
            <w:tcW w:w="3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3C406966" w14:textId="77777777" w:rsidR="00D10343" w:rsidRDefault="00000000">
            <w:pPr>
              <w:spacing w:before="40" w:after="40" w:line="260" w:lineRule="auto"/>
            </w:pPr>
            <w:r>
              <w:rPr>
                <w:rFonts w:ascii="Georgia" w:eastAsia="Georgia" w:hAnsi="Georgia" w:cs="Georgia"/>
                <w:color w:val="2C2C2C"/>
                <w:sz w:val="19"/>
                <w:szCs w:val="19"/>
              </w:rPr>
              <w:t>Eliminated. Every analysis is generated fresh from the actual case data</w:t>
            </w:r>
          </w:p>
        </w:tc>
      </w:tr>
      <w:tr w:rsidR="00D10343" w14:paraId="678913F1" w14:textId="77777777">
        <w:tblPrEx>
          <w:tblCellMar>
            <w:top w:w="0" w:type="dxa"/>
            <w:bottom w:w="0" w:type="dxa"/>
          </w:tblCellMar>
        </w:tblPrEx>
        <w:tc>
          <w:tcPr>
            <w:tcW w:w="208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561A7BE3" w14:textId="77777777" w:rsidR="00D10343" w:rsidRDefault="00000000">
            <w:pPr>
              <w:spacing w:before="40" w:after="40" w:line="260" w:lineRule="auto"/>
            </w:pPr>
            <w:r>
              <w:rPr>
                <w:rFonts w:ascii="Georgia" w:eastAsia="Georgia" w:hAnsi="Georgia" w:cs="Georgia"/>
                <w:color w:val="2C2C2C"/>
                <w:sz w:val="19"/>
                <w:szCs w:val="19"/>
              </w:rPr>
              <w:t>Experience dependency</w:t>
            </w:r>
          </w:p>
        </w:tc>
        <w:tc>
          <w:tcPr>
            <w:tcW w:w="364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510F8F7A" w14:textId="77777777" w:rsidR="00D10343" w:rsidRDefault="00000000">
            <w:pPr>
              <w:spacing w:before="40" w:after="40" w:line="260" w:lineRule="auto"/>
            </w:pPr>
            <w:r>
              <w:rPr>
                <w:rFonts w:ascii="Georgia" w:eastAsia="Georgia" w:hAnsi="Georgia" w:cs="Georgia"/>
                <w:color w:val="2C2C2C"/>
                <w:sz w:val="19"/>
                <w:szCs w:val="19"/>
              </w:rPr>
              <w:t>High. New starters take months to reach full productivity. Throughput drops when experienced investigators leave</w:t>
            </w:r>
          </w:p>
        </w:tc>
        <w:tc>
          <w:tcPr>
            <w:tcW w:w="364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5D001742" w14:textId="77777777" w:rsidR="00D10343" w:rsidRDefault="00000000">
            <w:pPr>
              <w:spacing w:before="40" w:after="40" w:line="260" w:lineRule="auto"/>
            </w:pPr>
            <w:r>
              <w:rPr>
                <w:rFonts w:ascii="Georgia" w:eastAsia="Georgia" w:hAnsi="Georgia" w:cs="Georgia"/>
                <w:color w:val="2C2C2C"/>
                <w:sz w:val="19"/>
                <w:szCs w:val="19"/>
              </w:rPr>
              <w:t>Reduced. The platform embeds institutional knowledge. New investigators work at a comparable pace from the start</w:t>
            </w:r>
          </w:p>
        </w:tc>
      </w:tr>
      <w:tr w:rsidR="00D10343" w14:paraId="3C06F96B" w14:textId="77777777">
        <w:tblPrEx>
          <w:tblCellMar>
            <w:top w:w="0" w:type="dxa"/>
            <w:bottom w:w="0" w:type="dxa"/>
          </w:tblCellMar>
        </w:tblPrEx>
        <w:tc>
          <w:tcPr>
            <w:tcW w:w="20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10CF0402" w14:textId="77777777" w:rsidR="00D10343" w:rsidRDefault="00000000">
            <w:pPr>
              <w:spacing w:before="40" w:after="40" w:line="260" w:lineRule="auto"/>
            </w:pPr>
            <w:r>
              <w:rPr>
                <w:rFonts w:ascii="Georgia" w:eastAsia="Georgia" w:hAnsi="Georgia" w:cs="Georgia"/>
                <w:color w:val="2C2C2C"/>
                <w:sz w:val="19"/>
                <w:szCs w:val="19"/>
              </w:rPr>
              <w:t>Training and onboarding</w:t>
            </w:r>
          </w:p>
        </w:tc>
        <w:tc>
          <w:tcPr>
            <w:tcW w:w="3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70D97313" w14:textId="77777777" w:rsidR="00D10343" w:rsidRDefault="00000000">
            <w:pPr>
              <w:spacing w:before="40" w:after="40" w:line="260" w:lineRule="auto"/>
            </w:pPr>
            <w:r>
              <w:rPr>
                <w:rFonts w:ascii="Georgia" w:eastAsia="Georgia" w:hAnsi="Georgia" w:cs="Georgia"/>
                <w:color w:val="2C2C2C"/>
                <w:sz w:val="19"/>
                <w:szCs w:val="19"/>
              </w:rPr>
              <w:t>Weeks of shadowing and learning systems, SOPs, and precedents</w:t>
            </w:r>
          </w:p>
        </w:tc>
        <w:tc>
          <w:tcPr>
            <w:tcW w:w="3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40" w:type="dxa"/>
              <w:bottom w:w="80" w:type="dxa"/>
              <w:right w:w="140" w:type="dxa"/>
            </w:tcMar>
          </w:tcPr>
          <w:p w14:paraId="6120A280" w14:textId="77777777" w:rsidR="00D10343" w:rsidRDefault="00000000">
            <w:pPr>
              <w:spacing w:before="40" w:after="40" w:line="260" w:lineRule="auto"/>
            </w:pPr>
            <w:r>
              <w:rPr>
                <w:rFonts w:ascii="Georgia" w:eastAsia="Georgia" w:hAnsi="Georgia" w:cs="Georgia"/>
                <w:color w:val="2C2C2C"/>
                <w:sz w:val="19"/>
                <w:szCs w:val="19"/>
              </w:rPr>
              <w:t>Significantly shorter. The AI guides the investigator through the methodology and flags relevant SOPs automatically</w:t>
            </w:r>
          </w:p>
        </w:tc>
      </w:tr>
      <w:tr w:rsidR="00D10343" w14:paraId="7EEA163E" w14:textId="77777777">
        <w:tblPrEx>
          <w:tblCellMar>
            <w:top w:w="0" w:type="dxa"/>
            <w:bottom w:w="0" w:type="dxa"/>
          </w:tblCellMar>
        </w:tblPrEx>
        <w:tc>
          <w:tcPr>
            <w:tcW w:w="208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729B4D71" w14:textId="77777777" w:rsidR="00D10343" w:rsidRDefault="00000000">
            <w:pPr>
              <w:spacing w:before="40" w:after="40" w:line="260" w:lineRule="auto"/>
            </w:pPr>
            <w:r>
              <w:rPr>
                <w:rFonts w:ascii="Georgia" w:eastAsia="Georgia" w:hAnsi="Georgia" w:cs="Georgia"/>
                <w:color w:val="2C2C2C"/>
                <w:sz w:val="19"/>
                <w:szCs w:val="19"/>
              </w:rPr>
              <w:t>Output format</w:t>
            </w:r>
          </w:p>
        </w:tc>
        <w:tc>
          <w:tcPr>
            <w:tcW w:w="364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4AF6E482" w14:textId="77777777" w:rsidR="00D10343" w:rsidRDefault="00000000">
            <w:pPr>
              <w:spacing w:before="40" w:after="40" w:line="260" w:lineRule="auto"/>
            </w:pPr>
            <w:r>
              <w:rPr>
                <w:rFonts w:ascii="Georgia" w:eastAsia="Georgia" w:hAnsi="Georgia" w:cs="Georgia"/>
                <w:color w:val="2C2C2C"/>
                <w:sz w:val="19"/>
                <w:szCs w:val="19"/>
              </w:rPr>
              <w:t>Tied to current template structure</w:t>
            </w:r>
          </w:p>
        </w:tc>
        <w:tc>
          <w:tcPr>
            <w:tcW w:w="3640" w:type="dxa"/>
            <w:tcBorders>
              <w:top w:val="single" w:sz="4" w:space="0" w:color="C8D0DC"/>
              <w:left w:val="single" w:sz="4" w:space="0" w:color="C8D0DC"/>
              <w:bottom w:val="single" w:sz="4" w:space="0" w:color="C8D0DC"/>
              <w:right w:val="single" w:sz="4" w:space="0" w:color="C8D0DC"/>
            </w:tcBorders>
            <w:shd w:val="clear" w:color="auto" w:fill="F2F5F9"/>
            <w:tcMar>
              <w:top w:w="80" w:type="dxa"/>
              <w:left w:w="140" w:type="dxa"/>
              <w:bottom w:w="80" w:type="dxa"/>
              <w:right w:w="140" w:type="dxa"/>
            </w:tcMar>
          </w:tcPr>
          <w:p w14:paraId="7CA91DD3" w14:textId="77777777" w:rsidR="00D10343" w:rsidRDefault="00000000">
            <w:pPr>
              <w:spacing w:before="40" w:after="40" w:line="260" w:lineRule="auto"/>
            </w:pPr>
            <w:r>
              <w:rPr>
                <w:rFonts w:ascii="Georgia" w:eastAsia="Georgia" w:hAnsi="Georgia" w:cs="Georgia"/>
                <w:color w:val="2C2C2C"/>
                <w:sz w:val="19"/>
                <w:szCs w:val="19"/>
              </w:rPr>
              <w:t>Template-agnostic. Adapts to any case file format as requirements evolve</w:t>
            </w:r>
          </w:p>
        </w:tc>
      </w:tr>
    </w:tbl>
    <w:p w14:paraId="75644C9E" w14:textId="77777777" w:rsidR="00D10343" w:rsidRDefault="00D10343">
      <w:pPr>
        <w:spacing w:before="200" w:after="40"/>
      </w:pPr>
    </w:p>
    <w:p w14:paraId="23DC5298" w14:textId="77777777" w:rsidR="00D10343" w:rsidRDefault="00000000">
      <w:pPr>
        <w:spacing w:before="320" w:after="120"/>
      </w:pPr>
      <w:r>
        <w:rPr>
          <w:rFonts w:ascii="Arial" w:eastAsia="Arial" w:hAnsi="Arial" w:cs="Arial"/>
          <w:b/>
          <w:bCs/>
          <w:color w:val="2E4170"/>
          <w:sz w:val="24"/>
          <w:szCs w:val="24"/>
        </w:rPr>
        <w:t>5)  Example Impact</w:t>
      </w:r>
    </w:p>
    <w:p w14:paraId="56595B2C" w14:textId="77777777" w:rsidR="00D10343" w:rsidRDefault="00D10343">
      <w:pPr>
        <w:pBdr>
          <w:bottom w:val="single" w:sz="6" w:space="1" w:color="C8D0DC"/>
        </w:pBdr>
        <w:spacing w:before="200" w:after="200"/>
      </w:pPr>
    </w:p>
    <w:p w14:paraId="3D0B8B8A" w14:textId="77777777" w:rsidR="00D10343" w:rsidRDefault="00000000">
      <w:pPr>
        <w:spacing w:before="80" w:after="100" w:line="276" w:lineRule="auto"/>
      </w:pPr>
      <w:r>
        <w:rPr>
          <w:rFonts w:ascii="Georgia" w:eastAsia="Georgia" w:hAnsi="Georgia" w:cs="Georgia"/>
          <w:color w:val="2C2C2C"/>
          <w:sz w:val="21"/>
          <w:szCs w:val="21"/>
        </w:rPr>
        <w:t>Using a sanitised real case run through the prototype:</w:t>
      </w:r>
    </w:p>
    <w:p w14:paraId="7EF4FDD4" w14:textId="77777777" w:rsidR="00D10343" w:rsidRDefault="00D10343">
      <w:pPr>
        <w:spacing w:before="8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0343" w14:paraId="1745ADBB" w14:textId="77777777">
        <w:tblPrEx>
          <w:tblCellMar>
            <w:top w:w="0" w:type="dxa"/>
            <w:bottom w:w="0" w:type="dxa"/>
          </w:tblCellMar>
        </w:tblPrEx>
        <w:tc>
          <w:tcPr>
            <w:tcW w:w="9360" w:type="dxa"/>
            <w:tcBorders>
              <w:top w:val="single" w:sz="4" w:space="0" w:color="C8D0DC"/>
              <w:left w:val="thick" w:sz="16" w:space="0" w:color="2E4170"/>
              <w:bottom w:val="single" w:sz="4" w:space="0" w:color="C8D0DC"/>
              <w:right w:val="none" w:sz="0" w:space="0" w:color="FFFFFF"/>
            </w:tcBorders>
            <w:shd w:val="clear" w:color="auto" w:fill="F2F5F9"/>
            <w:tcMar>
              <w:top w:w="120" w:type="dxa"/>
              <w:left w:w="220" w:type="dxa"/>
              <w:bottom w:w="120" w:type="dxa"/>
              <w:right w:w="220" w:type="dxa"/>
            </w:tcMar>
          </w:tcPr>
          <w:p w14:paraId="17BA9FE9" w14:textId="77777777" w:rsidR="00D10343" w:rsidRDefault="00000000">
            <w:pPr>
              <w:spacing w:after="80"/>
            </w:pPr>
            <w:r>
              <w:rPr>
                <w:rFonts w:ascii="Arial" w:eastAsia="Arial" w:hAnsi="Arial" w:cs="Arial"/>
                <w:b/>
                <w:bCs/>
                <w:color w:val="1B2A4A"/>
              </w:rPr>
              <w:t>CASE-2026-0451 (Romance Scam)</w:t>
            </w:r>
          </w:p>
          <w:p w14:paraId="6D9564B7" w14:textId="77777777" w:rsidR="00D10343" w:rsidRDefault="00000000">
            <w:pPr>
              <w:spacing w:line="276" w:lineRule="auto"/>
            </w:pPr>
            <w:r>
              <w:rPr>
                <w:rFonts w:ascii="Georgia" w:eastAsia="Georgia" w:hAnsi="Georgia" w:cs="Georgia"/>
                <w:color w:val="2C2C2C"/>
              </w:rPr>
              <w:t>The AI correctly identified the case as a third-party scam with the subject as a victim, flagged the grooming escalation pattern across counterparty transactions, identified money mule network exposure, and recommended MLRO escalation. All of this came from the pre-staged case data in the initial assessment, before the investigator had asked a single question.</w:t>
            </w:r>
          </w:p>
        </w:tc>
      </w:tr>
    </w:tbl>
    <w:p w14:paraId="67268C1D" w14:textId="77777777" w:rsidR="00D10343" w:rsidRDefault="00D10343">
      <w:pPr>
        <w:spacing w:before="120" w:after="80"/>
      </w:pPr>
    </w:p>
    <w:p w14:paraId="4CDA22AE" w14:textId="77777777" w:rsidR="00D10343" w:rsidRDefault="00000000">
      <w:pPr>
        <w:spacing w:before="80" w:after="100" w:line="276" w:lineRule="auto"/>
      </w:pPr>
      <w:r>
        <w:rPr>
          <w:rFonts w:ascii="Georgia" w:eastAsia="Georgia" w:hAnsi="Georgia" w:cs="Georgia"/>
          <w:color w:val="2C2C2C"/>
          <w:sz w:val="21"/>
          <w:szCs w:val="21"/>
        </w:rPr>
        <w:t xml:space="preserve">Under the current workflow, an investigator would need to open C360, download and review the transaction spreadsheets, screen wallets in Elliptic, check </w:t>
      </w:r>
      <w:proofErr w:type="spellStart"/>
      <w:r>
        <w:rPr>
          <w:rFonts w:ascii="Georgia" w:eastAsia="Georgia" w:hAnsi="Georgia" w:cs="Georgia"/>
          <w:color w:val="2C2C2C"/>
          <w:sz w:val="21"/>
          <w:szCs w:val="21"/>
        </w:rPr>
        <w:t>Kodex</w:t>
      </w:r>
      <w:proofErr w:type="spellEnd"/>
      <w:r>
        <w:rPr>
          <w:rFonts w:ascii="Georgia" w:eastAsia="Georgia" w:hAnsi="Georgia" w:cs="Georgia"/>
          <w:color w:val="2C2C2C"/>
          <w:sz w:val="21"/>
          <w:szCs w:val="21"/>
        </w:rPr>
        <w:t xml:space="preserve"> for law enforcement cases, review </w:t>
      </w:r>
      <w:r>
        <w:rPr>
          <w:rFonts w:ascii="Georgia" w:eastAsia="Georgia" w:hAnsi="Georgia" w:cs="Georgia"/>
          <w:color w:val="2C2C2C"/>
          <w:sz w:val="21"/>
          <w:szCs w:val="21"/>
        </w:rPr>
        <w:lastRenderedPageBreak/>
        <w:t>KYC, read any previous investigations, and then hold all of that context in their head while working through the case template. For an experienced investigator, that might take 40 to 60 minutes. For someone newer to the team, it could take considerably longer.</w:t>
      </w:r>
    </w:p>
    <w:p w14:paraId="6771477F" w14:textId="77777777" w:rsidR="00D10343" w:rsidRDefault="00000000">
      <w:pPr>
        <w:spacing w:before="80" w:after="100" w:line="276" w:lineRule="auto"/>
      </w:pPr>
      <w:r>
        <w:rPr>
          <w:rFonts w:ascii="Georgia" w:eastAsia="Georgia" w:hAnsi="Georgia" w:cs="Georgia"/>
          <w:color w:val="2C2C2C"/>
          <w:sz w:val="21"/>
          <w:szCs w:val="21"/>
        </w:rPr>
        <w:t>With the platform, the investigator opens the case and finds the data already processed and structured, with an AI assessment ready. Their job is to review the findings, apply their own judgment, challenge anything that doesn't look right, and make the final decision. The target is 15 to 20 minutes, with the investigator's time spent entirely on the work that actually requires a human: evaluating risk and making the call.</w:t>
      </w:r>
    </w:p>
    <w:p w14:paraId="7FD0CE9D" w14:textId="77777777" w:rsidR="00D10343" w:rsidRDefault="00D10343">
      <w:pPr>
        <w:spacing w:before="200" w:after="40"/>
      </w:pPr>
    </w:p>
    <w:p w14:paraId="08936A6E" w14:textId="77777777" w:rsidR="00D10343" w:rsidRDefault="00000000">
      <w:pPr>
        <w:spacing w:before="320" w:after="120"/>
      </w:pPr>
      <w:r>
        <w:rPr>
          <w:rFonts w:ascii="Arial" w:eastAsia="Arial" w:hAnsi="Arial" w:cs="Arial"/>
          <w:b/>
          <w:bCs/>
          <w:color w:val="2E4170"/>
          <w:sz w:val="24"/>
          <w:szCs w:val="24"/>
        </w:rPr>
        <w:t>6)  Implementation Plan (High-Level)</w:t>
      </w:r>
    </w:p>
    <w:p w14:paraId="1A66A826" w14:textId="77777777" w:rsidR="00D10343" w:rsidRDefault="00D10343">
      <w:pPr>
        <w:pBdr>
          <w:bottom w:val="single" w:sz="6" w:space="1" w:color="C8D0DC"/>
        </w:pBdr>
        <w:spacing w:before="200" w:after="200"/>
      </w:pPr>
    </w:p>
    <w:p w14:paraId="6F4D7765" w14:textId="77777777" w:rsidR="00D10343" w:rsidRDefault="00000000">
      <w:pPr>
        <w:spacing w:before="80" w:after="80" w:line="276" w:lineRule="auto"/>
      </w:pPr>
      <w:r>
        <w:rPr>
          <w:rFonts w:ascii="Arial" w:eastAsia="Arial" w:hAnsi="Arial" w:cs="Arial"/>
          <w:b/>
          <w:bCs/>
          <w:color w:val="2E4170"/>
          <w:sz w:val="21"/>
          <w:szCs w:val="21"/>
        </w:rPr>
        <w:t xml:space="preserve">1.  </w:t>
      </w:r>
      <w:r>
        <w:rPr>
          <w:rFonts w:ascii="Georgia" w:eastAsia="Georgia" w:hAnsi="Georgia" w:cs="Georgia"/>
          <w:color w:val="2C2C2C"/>
          <w:sz w:val="21"/>
          <w:szCs w:val="21"/>
        </w:rPr>
        <w:t>Demonstrate the prototype to stakeholders using sanitised case data to validate the approach and confirm the direction.</w:t>
      </w:r>
    </w:p>
    <w:p w14:paraId="09EA435F" w14:textId="77777777" w:rsidR="00D10343" w:rsidRDefault="00000000">
      <w:pPr>
        <w:spacing w:before="80" w:after="80" w:line="276" w:lineRule="auto"/>
      </w:pPr>
      <w:r>
        <w:rPr>
          <w:rFonts w:ascii="Arial" w:eastAsia="Arial" w:hAnsi="Arial" w:cs="Arial"/>
          <w:b/>
          <w:bCs/>
          <w:color w:val="2E4170"/>
          <w:sz w:val="21"/>
          <w:szCs w:val="21"/>
        </w:rPr>
        <w:t xml:space="preserve">2.  </w:t>
      </w:r>
      <w:r>
        <w:rPr>
          <w:rFonts w:ascii="Georgia" w:eastAsia="Georgia" w:hAnsi="Georgia" w:cs="Georgia"/>
          <w:color w:val="2C2C2C"/>
          <w:sz w:val="21"/>
          <w:szCs w:val="21"/>
        </w:rPr>
        <w:t>Build the data ingestion portal (Phase 2) so investigators can work real cases through the platform. The core processing code for C360 and Elliptic already exists and needs to be integrated into the platform front end. New capabilities for LE PDF extraction and Hexa text parsing will be built.</w:t>
      </w:r>
    </w:p>
    <w:p w14:paraId="7B2759B7" w14:textId="77777777" w:rsidR="00D10343" w:rsidRDefault="00000000">
      <w:pPr>
        <w:spacing w:before="80" w:after="80" w:line="276" w:lineRule="auto"/>
      </w:pPr>
      <w:r>
        <w:rPr>
          <w:rFonts w:ascii="Arial" w:eastAsia="Arial" w:hAnsi="Arial" w:cs="Arial"/>
          <w:b/>
          <w:bCs/>
          <w:color w:val="2E4170"/>
          <w:sz w:val="21"/>
          <w:szCs w:val="21"/>
        </w:rPr>
        <w:t xml:space="preserve">3.  </w:t>
      </w:r>
      <w:r>
        <w:rPr>
          <w:rFonts w:ascii="Georgia" w:eastAsia="Georgia" w:hAnsi="Georgia" w:cs="Georgia"/>
          <w:color w:val="2C2C2C"/>
          <w:sz w:val="21"/>
          <w:szCs w:val="21"/>
        </w:rPr>
        <w:t>Deploy to shared infrastructure (Phase 3) so the pilot group can access it. This requires IT support for VM provisioning, MongoDB, and network configuration.</w:t>
      </w:r>
    </w:p>
    <w:p w14:paraId="2FA9C940" w14:textId="77777777" w:rsidR="00D10343" w:rsidRDefault="00000000">
      <w:pPr>
        <w:spacing w:before="80" w:after="80" w:line="276" w:lineRule="auto"/>
      </w:pPr>
      <w:r>
        <w:rPr>
          <w:rFonts w:ascii="Arial" w:eastAsia="Arial" w:hAnsi="Arial" w:cs="Arial"/>
          <w:b/>
          <w:bCs/>
          <w:color w:val="2E4170"/>
          <w:sz w:val="21"/>
          <w:szCs w:val="21"/>
        </w:rPr>
        <w:t xml:space="preserve">4.  </w:t>
      </w:r>
      <w:r>
        <w:rPr>
          <w:rFonts w:ascii="Georgia" w:eastAsia="Georgia" w:hAnsi="Georgia" w:cs="Georgia"/>
          <w:color w:val="2C2C2C"/>
          <w:sz w:val="21"/>
          <w:szCs w:val="21"/>
        </w:rPr>
        <w:t>Run a controlled pilot (Phase 4) with a small group of investigators on live cases for 2 to 4 weeks. Measure case throughput, QC pass rates, and collect feedback to guide further development.</w:t>
      </w:r>
    </w:p>
    <w:p w14:paraId="1F9A7B30" w14:textId="77777777" w:rsidR="00D10343" w:rsidRDefault="00D10343">
      <w:pPr>
        <w:spacing w:before="180" w:after="80"/>
      </w:pPr>
    </w:p>
    <w:p w14:paraId="0474993D" w14:textId="77777777" w:rsidR="00D10343" w:rsidRDefault="00000000">
      <w:pPr>
        <w:spacing w:before="120" w:after="100"/>
      </w:pPr>
      <w:r>
        <w:rPr>
          <w:rFonts w:ascii="Arial" w:eastAsia="Arial" w:hAnsi="Arial" w:cs="Arial"/>
          <w:b/>
          <w:bCs/>
          <w:color w:val="1A1A1A"/>
          <w:sz w:val="21"/>
          <w:szCs w:val="21"/>
        </w:rPr>
        <w:t>What's needed to proceed:</w:t>
      </w:r>
    </w:p>
    <w:p w14:paraId="08276080"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Dedicated development time for Ben and colleague with database/data expertise.</w:t>
      </w:r>
    </w:p>
    <w:p w14:paraId="69ADCFD6" w14:textId="77777777" w:rsidR="00D10343" w:rsidRDefault="00000000">
      <w:pPr>
        <w:pStyle w:val="ListParagraph"/>
        <w:numPr>
          <w:ilvl w:val="0"/>
          <w:numId w:val="2"/>
        </w:numPr>
        <w:spacing w:before="60" w:after="60" w:line="276" w:lineRule="auto"/>
      </w:pPr>
      <w:proofErr w:type="spellStart"/>
      <w:r>
        <w:rPr>
          <w:rFonts w:ascii="Georgia" w:eastAsia="Georgia" w:hAnsi="Georgia" w:cs="Georgia"/>
          <w:color w:val="2C2C2C"/>
          <w:sz w:val="21"/>
          <w:szCs w:val="21"/>
        </w:rPr>
        <w:t>SafuAPI</w:t>
      </w:r>
      <w:proofErr w:type="spellEnd"/>
      <w:r>
        <w:rPr>
          <w:rFonts w:ascii="Georgia" w:eastAsia="Georgia" w:hAnsi="Georgia" w:cs="Georgia"/>
          <w:color w:val="2C2C2C"/>
          <w:sz w:val="21"/>
          <w:szCs w:val="21"/>
        </w:rPr>
        <w:t xml:space="preserve"> Anthropic key and WAF whitelisting for Binance network deployment.</w:t>
      </w:r>
    </w:p>
    <w:p w14:paraId="4C0B2D91"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Elliptic API key configured for the platform.</w:t>
      </w:r>
    </w:p>
    <w:p w14:paraId="63DFF1EF"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VM or shared infrastructure for deployment beyond local machine.</w:t>
      </w:r>
    </w:p>
    <w:p w14:paraId="21514AFF" w14:textId="77777777" w:rsidR="00D10343" w:rsidRDefault="00000000">
      <w:pPr>
        <w:pStyle w:val="ListParagraph"/>
        <w:numPr>
          <w:ilvl w:val="0"/>
          <w:numId w:val="2"/>
        </w:numPr>
        <w:spacing w:before="60" w:after="60" w:line="276" w:lineRule="auto"/>
      </w:pPr>
      <w:r>
        <w:rPr>
          <w:rFonts w:ascii="Georgia" w:eastAsia="Georgia" w:hAnsi="Georgia" w:cs="Georgia"/>
          <w:color w:val="2C2C2C"/>
          <w:sz w:val="21"/>
          <w:szCs w:val="21"/>
        </w:rPr>
        <w:t>Stakeholder time for demo review and pilot oversight.</w:t>
      </w:r>
    </w:p>
    <w:p w14:paraId="46B6E510" w14:textId="77777777" w:rsidR="00D10343" w:rsidRDefault="00D10343">
      <w:pPr>
        <w:spacing w:before="200" w:after="40"/>
      </w:pPr>
    </w:p>
    <w:p w14:paraId="7034BD30" w14:textId="77777777" w:rsidR="008A661F" w:rsidRDefault="008A661F">
      <w:pPr>
        <w:spacing w:before="200" w:after="40"/>
      </w:pPr>
    </w:p>
    <w:p w14:paraId="7AAA4ECE" w14:textId="77777777" w:rsidR="008A661F" w:rsidRDefault="008A661F">
      <w:pPr>
        <w:spacing w:before="200" w:after="40"/>
      </w:pPr>
    </w:p>
    <w:p w14:paraId="3937C009" w14:textId="77777777" w:rsidR="008A661F" w:rsidRDefault="008A661F">
      <w:pPr>
        <w:spacing w:before="200" w:after="40"/>
      </w:pPr>
    </w:p>
    <w:p w14:paraId="5E34E328" w14:textId="77777777" w:rsidR="008A661F" w:rsidRDefault="008A661F">
      <w:pPr>
        <w:spacing w:before="200" w:after="40"/>
      </w:pPr>
    </w:p>
    <w:p w14:paraId="1E2EF508" w14:textId="77777777" w:rsidR="008A661F" w:rsidRDefault="008A661F">
      <w:pPr>
        <w:spacing w:before="200" w:after="40"/>
      </w:pPr>
    </w:p>
    <w:p w14:paraId="276A7384" w14:textId="77777777" w:rsidR="008A661F" w:rsidRDefault="008A661F">
      <w:pPr>
        <w:spacing w:before="200" w:after="40"/>
      </w:pPr>
    </w:p>
    <w:p w14:paraId="246CC529" w14:textId="77777777" w:rsidR="008A661F" w:rsidRDefault="008A661F">
      <w:pPr>
        <w:spacing w:before="200" w:after="40"/>
      </w:pPr>
    </w:p>
    <w:p w14:paraId="717E7B24" w14:textId="77777777" w:rsidR="00D10343" w:rsidRDefault="00000000">
      <w:pPr>
        <w:spacing w:before="320" w:after="120"/>
      </w:pPr>
      <w:r>
        <w:rPr>
          <w:rFonts w:ascii="Arial" w:eastAsia="Arial" w:hAnsi="Arial" w:cs="Arial"/>
          <w:b/>
          <w:bCs/>
          <w:color w:val="2E4170"/>
          <w:sz w:val="24"/>
          <w:szCs w:val="24"/>
        </w:rPr>
        <w:lastRenderedPageBreak/>
        <w:t>7)  Approval</w:t>
      </w:r>
    </w:p>
    <w:p w14:paraId="1C46F63D" w14:textId="77777777" w:rsidR="00D10343" w:rsidRDefault="00D10343">
      <w:pPr>
        <w:pBdr>
          <w:bottom w:val="single" w:sz="6" w:space="1" w:color="C8D0DC"/>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800"/>
        <w:gridCol w:w="3360"/>
      </w:tblGrid>
      <w:tr w:rsidR="00D10343" w14:paraId="74117CEA" w14:textId="77777777">
        <w:tblPrEx>
          <w:tblCellMar>
            <w:top w:w="0" w:type="dxa"/>
            <w:bottom w:w="0" w:type="dxa"/>
          </w:tblCellMar>
        </w:tblPrEx>
        <w:trPr>
          <w:tblHeader/>
        </w:trPr>
        <w:tc>
          <w:tcPr>
            <w:tcW w:w="1600" w:type="dxa"/>
            <w:tcBorders>
              <w:top w:val="single" w:sz="4" w:space="0" w:color="C8D0DC"/>
              <w:left w:val="single" w:sz="4" w:space="0" w:color="C8D0DC"/>
              <w:bottom w:val="single" w:sz="4" w:space="0" w:color="C8D0DC"/>
              <w:right w:val="single" w:sz="4" w:space="0" w:color="C8D0DC"/>
            </w:tcBorders>
            <w:shd w:val="clear" w:color="auto" w:fill="D5DCE8"/>
            <w:tcMar>
              <w:top w:w="100" w:type="dxa"/>
              <w:left w:w="140" w:type="dxa"/>
              <w:bottom w:w="100" w:type="dxa"/>
              <w:right w:w="140" w:type="dxa"/>
            </w:tcMar>
          </w:tcPr>
          <w:p w14:paraId="696133D6" w14:textId="77777777" w:rsidR="00D10343" w:rsidRDefault="00000000">
            <w:r>
              <w:rPr>
                <w:rFonts w:ascii="Arial" w:eastAsia="Arial" w:hAnsi="Arial" w:cs="Arial"/>
                <w:b/>
                <w:bCs/>
                <w:color w:val="1B2A4A"/>
                <w:sz w:val="19"/>
                <w:szCs w:val="19"/>
              </w:rPr>
              <w:t>Date</w:t>
            </w:r>
          </w:p>
        </w:tc>
        <w:tc>
          <w:tcPr>
            <w:tcW w:w="1600" w:type="dxa"/>
            <w:tcBorders>
              <w:top w:val="single" w:sz="4" w:space="0" w:color="C8D0DC"/>
              <w:left w:val="single" w:sz="4" w:space="0" w:color="C8D0DC"/>
              <w:bottom w:val="single" w:sz="4" w:space="0" w:color="C8D0DC"/>
              <w:right w:val="single" w:sz="4" w:space="0" w:color="C8D0DC"/>
            </w:tcBorders>
            <w:shd w:val="clear" w:color="auto" w:fill="D5DCE8"/>
            <w:tcMar>
              <w:top w:w="100" w:type="dxa"/>
              <w:left w:w="140" w:type="dxa"/>
              <w:bottom w:w="100" w:type="dxa"/>
              <w:right w:w="140" w:type="dxa"/>
            </w:tcMar>
          </w:tcPr>
          <w:p w14:paraId="510E82FD" w14:textId="77777777" w:rsidR="00D10343" w:rsidRDefault="00000000">
            <w:r>
              <w:rPr>
                <w:rFonts w:ascii="Arial" w:eastAsia="Arial" w:hAnsi="Arial" w:cs="Arial"/>
                <w:b/>
                <w:bCs/>
                <w:color w:val="1B2A4A"/>
                <w:sz w:val="19"/>
                <w:szCs w:val="19"/>
              </w:rPr>
              <w:t>Status</w:t>
            </w:r>
          </w:p>
        </w:tc>
        <w:tc>
          <w:tcPr>
            <w:tcW w:w="2800" w:type="dxa"/>
            <w:tcBorders>
              <w:top w:val="single" w:sz="4" w:space="0" w:color="C8D0DC"/>
              <w:left w:val="single" w:sz="4" w:space="0" w:color="C8D0DC"/>
              <w:bottom w:val="single" w:sz="4" w:space="0" w:color="C8D0DC"/>
              <w:right w:val="single" w:sz="4" w:space="0" w:color="C8D0DC"/>
            </w:tcBorders>
            <w:shd w:val="clear" w:color="auto" w:fill="D5DCE8"/>
            <w:tcMar>
              <w:top w:w="100" w:type="dxa"/>
              <w:left w:w="140" w:type="dxa"/>
              <w:bottom w:w="100" w:type="dxa"/>
              <w:right w:w="140" w:type="dxa"/>
            </w:tcMar>
          </w:tcPr>
          <w:p w14:paraId="34C4137B" w14:textId="77777777" w:rsidR="00D10343" w:rsidRDefault="00000000">
            <w:r>
              <w:rPr>
                <w:rFonts w:ascii="Arial" w:eastAsia="Arial" w:hAnsi="Arial" w:cs="Arial"/>
                <w:b/>
                <w:bCs/>
                <w:color w:val="1B2A4A"/>
                <w:sz w:val="19"/>
                <w:szCs w:val="19"/>
              </w:rPr>
              <w:t>Name</w:t>
            </w:r>
          </w:p>
        </w:tc>
        <w:tc>
          <w:tcPr>
            <w:tcW w:w="3360" w:type="dxa"/>
            <w:tcBorders>
              <w:top w:val="single" w:sz="4" w:space="0" w:color="C8D0DC"/>
              <w:left w:val="single" w:sz="4" w:space="0" w:color="C8D0DC"/>
              <w:bottom w:val="single" w:sz="4" w:space="0" w:color="C8D0DC"/>
              <w:right w:val="single" w:sz="4" w:space="0" w:color="C8D0DC"/>
            </w:tcBorders>
            <w:shd w:val="clear" w:color="auto" w:fill="D5DCE8"/>
            <w:tcMar>
              <w:top w:w="100" w:type="dxa"/>
              <w:left w:w="140" w:type="dxa"/>
              <w:bottom w:w="100" w:type="dxa"/>
              <w:right w:w="140" w:type="dxa"/>
            </w:tcMar>
          </w:tcPr>
          <w:p w14:paraId="612C1AEA" w14:textId="77777777" w:rsidR="00D10343" w:rsidRDefault="00000000">
            <w:r>
              <w:rPr>
                <w:rFonts w:ascii="Arial" w:eastAsia="Arial" w:hAnsi="Arial" w:cs="Arial"/>
                <w:b/>
                <w:bCs/>
                <w:color w:val="1B2A4A"/>
                <w:sz w:val="19"/>
                <w:szCs w:val="19"/>
              </w:rPr>
              <w:t>Role</w:t>
            </w:r>
          </w:p>
        </w:tc>
      </w:tr>
      <w:tr w:rsidR="00D10343" w14:paraId="57ACC243" w14:textId="77777777">
        <w:tblPrEx>
          <w:tblCellMar>
            <w:top w:w="0" w:type="dxa"/>
            <w:bottom w:w="0" w:type="dxa"/>
          </w:tblCellMar>
        </w:tblPrEx>
        <w:tc>
          <w:tcPr>
            <w:tcW w:w="1600" w:type="dxa"/>
            <w:tcBorders>
              <w:top w:val="single" w:sz="4" w:space="0" w:color="C8D0DC"/>
              <w:left w:val="single" w:sz="4" w:space="0" w:color="C8D0DC"/>
              <w:bottom w:val="single" w:sz="4" w:space="0" w:color="C8D0DC"/>
              <w:right w:val="single" w:sz="4" w:space="0" w:color="C8D0DC"/>
            </w:tcBorders>
            <w:shd w:val="clear" w:color="auto" w:fill="FFFFFF"/>
            <w:tcMar>
              <w:top w:w="120" w:type="dxa"/>
              <w:left w:w="140" w:type="dxa"/>
              <w:bottom w:w="120" w:type="dxa"/>
              <w:right w:w="140" w:type="dxa"/>
            </w:tcMar>
          </w:tcPr>
          <w:p w14:paraId="5DF20B27" w14:textId="77777777" w:rsidR="00D10343" w:rsidRDefault="00D10343"/>
        </w:tc>
        <w:tc>
          <w:tcPr>
            <w:tcW w:w="1600" w:type="dxa"/>
            <w:tcBorders>
              <w:top w:val="single" w:sz="4" w:space="0" w:color="C8D0DC"/>
              <w:left w:val="single" w:sz="4" w:space="0" w:color="C8D0DC"/>
              <w:bottom w:val="single" w:sz="4" w:space="0" w:color="C8D0DC"/>
              <w:right w:val="single" w:sz="4" w:space="0" w:color="C8D0DC"/>
            </w:tcBorders>
            <w:shd w:val="clear" w:color="auto" w:fill="FFFFFF"/>
            <w:tcMar>
              <w:top w:w="120" w:type="dxa"/>
              <w:left w:w="140" w:type="dxa"/>
              <w:bottom w:w="120" w:type="dxa"/>
              <w:right w:w="140" w:type="dxa"/>
            </w:tcMar>
          </w:tcPr>
          <w:p w14:paraId="29A2B19C" w14:textId="77777777" w:rsidR="00D10343" w:rsidRDefault="00D10343"/>
        </w:tc>
        <w:tc>
          <w:tcPr>
            <w:tcW w:w="2800" w:type="dxa"/>
            <w:tcBorders>
              <w:top w:val="single" w:sz="4" w:space="0" w:color="C8D0DC"/>
              <w:left w:val="single" w:sz="4" w:space="0" w:color="C8D0DC"/>
              <w:bottom w:val="single" w:sz="4" w:space="0" w:color="C8D0DC"/>
              <w:right w:val="single" w:sz="4" w:space="0" w:color="C8D0DC"/>
            </w:tcBorders>
            <w:shd w:val="clear" w:color="auto" w:fill="FFFFFF"/>
            <w:tcMar>
              <w:top w:w="120" w:type="dxa"/>
              <w:left w:w="140" w:type="dxa"/>
              <w:bottom w:w="120" w:type="dxa"/>
              <w:right w:w="140" w:type="dxa"/>
            </w:tcMar>
          </w:tcPr>
          <w:p w14:paraId="61846A5D" w14:textId="77777777" w:rsidR="00D10343" w:rsidRDefault="00000000">
            <w:r>
              <w:rPr>
                <w:rFonts w:ascii="Georgia" w:eastAsia="Georgia" w:hAnsi="Georgia" w:cs="Georgia"/>
                <w:color w:val="2C2C2C"/>
                <w:sz w:val="19"/>
                <w:szCs w:val="19"/>
              </w:rPr>
              <w:t>Tom Turrell</w:t>
            </w:r>
          </w:p>
        </w:tc>
        <w:tc>
          <w:tcPr>
            <w:tcW w:w="3360" w:type="dxa"/>
            <w:tcBorders>
              <w:top w:val="single" w:sz="4" w:space="0" w:color="C8D0DC"/>
              <w:left w:val="single" w:sz="4" w:space="0" w:color="C8D0DC"/>
              <w:bottom w:val="single" w:sz="4" w:space="0" w:color="C8D0DC"/>
              <w:right w:val="single" w:sz="4" w:space="0" w:color="C8D0DC"/>
            </w:tcBorders>
            <w:shd w:val="clear" w:color="auto" w:fill="FFFFFF"/>
            <w:tcMar>
              <w:top w:w="120" w:type="dxa"/>
              <w:left w:w="140" w:type="dxa"/>
              <w:bottom w:w="120" w:type="dxa"/>
              <w:right w:w="140" w:type="dxa"/>
            </w:tcMar>
          </w:tcPr>
          <w:p w14:paraId="2FF15092" w14:textId="77777777" w:rsidR="00D10343" w:rsidRDefault="00000000">
            <w:r>
              <w:rPr>
                <w:rFonts w:ascii="Georgia" w:eastAsia="Georgia" w:hAnsi="Georgia" w:cs="Georgia"/>
                <w:color w:val="2C2C2C"/>
                <w:sz w:val="19"/>
                <w:szCs w:val="19"/>
              </w:rPr>
              <w:t>Owner</w:t>
            </w:r>
          </w:p>
        </w:tc>
      </w:tr>
      <w:tr w:rsidR="00D10343" w14:paraId="6D51D4EF" w14:textId="77777777">
        <w:tblPrEx>
          <w:tblCellMar>
            <w:top w:w="0" w:type="dxa"/>
            <w:bottom w:w="0" w:type="dxa"/>
          </w:tblCellMar>
        </w:tblPrEx>
        <w:tc>
          <w:tcPr>
            <w:tcW w:w="1600" w:type="dxa"/>
            <w:tcBorders>
              <w:top w:val="single" w:sz="4" w:space="0" w:color="C8D0DC"/>
              <w:left w:val="single" w:sz="4" w:space="0" w:color="C8D0DC"/>
              <w:bottom w:val="single" w:sz="4" w:space="0" w:color="C8D0DC"/>
              <w:right w:val="single" w:sz="4" w:space="0" w:color="C8D0DC"/>
            </w:tcBorders>
            <w:shd w:val="clear" w:color="auto" w:fill="F2F5F9"/>
            <w:tcMar>
              <w:top w:w="120" w:type="dxa"/>
              <w:left w:w="140" w:type="dxa"/>
              <w:bottom w:w="120" w:type="dxa"/>
              <w:right w:w="140" w:type="dxa"/>
            </w:tcMar>
          </w:tcPr>
          <w:p w14:paraId="19A55A49" w14:textId="77777777" w:rsidR="00D10343" w:rsidRDefault="00D10343"/>
        </w:tc>
        <w:tc>
          <w:tcPr>
            <w:tcW w:w="1600" w:type="dxa"/>
            <w:tcBorders>
              <w:top w:val="single" w:sz="4" w:space="0" w:color="C8D0DC"/>
              <w:left w:val="single" w:sz="4" w:space="0" w:color="C8D0DC"/>
              <w:bottom w:val="single" w:sz="4" w:space="0" w:color="C8D0DC"/>
              <w:right w:val="single" w:sz="4" w:space="0" w:color="C8D0DC"/>
            </w:tcBorders>
            <w:shd w:val="clear" w:color="auto" w:fill="F2F5F9"/>
            <w:tcMar>
              <w:top w:w="120" w:type="dxa"/>
              <w:left w:w="140" w:type="dxa"/>
              <w:bottom w:w="120" w:type="dxa"/>
              <w:right w:w="140" w:type="dxa"/>
            </w:tcMar>
          </w:tcPr>
          <w:p w14:paraId="7785631B" w14:textId="77777777" w:rsidR="00D10343" w:rsidRDefault="00D10343"/>
        </w:tc>
        <w:tc>
          <w:tcPr>
            <w:tcW w:w="2800" w:type="dxa"/>
            <w:tcBorders>
              <w:top w:val="single" w:sz="4" w:space="0" w:color="C8D0DC"/>
              <w:left w:val="single" w:sz="4" w:space="0" w:color="C8D0DC"/>
              <w:bottom w:val="single" w:sz="4" w:space="0" w:color="C8D0DC"/>
              <w:right w:val="single" w:sz="4" w:space="0" w:color="C8D0DC"/>
            </w:tcBorders>
            <w:shd w:val="clear" w:color="auto" w:fill="F2F5F9"/>
            <w:tcMar>
              <w:top w:w="120" w:type="dxa"/>
              <w:left w:w="140" w:type="dxa"/>
              <w:bottom w:w="120" w:type="dxa"/>
              <w:right w:w="140" w:type="dxa"/>
            </w:tcMar>
          </w:tcPr>
          <w:p w14:paraId="5337F2AD" w14:textId="77777777" w:rsidR="00D10343" w:rsidRDefault="00000000">
            <w:r>
              <w:rPr>
                <w:rFonts w:ascii="Georgia" w:eastAsia="Georgia" w:hAnsi="Georgia" w:cs="Georgia"/>
                <w:color w:val="2C2C2C"/>
                <w:sz w:val="19"/>
                <w:szCs w:val="19"/>
              </w:rPr>
              <w:t>James Spaans</w:t>
            </w:r>
          </w:p>
        </w:tc>
        <w:tc>
          <w:tcPr>
            <w:tcW w:w="3360" w:type="dxa"/>
            <w:tcBorders>
              <w:top w:val="single" w:sz="4" w:space="0" w:color="C8D0DC"/>
              <w:left w:val="single" w:sz="4" w:space="0" w:color="C8D0DC"/>
              <w:bottom w:val="single" w:sz="4" w:space="0" w:color="C8D0DC"/>
              <w:right w:val="single" w:sz="4" w:space="0" w:color="C8D0DC"/>
            </w:tcBorders>
            <w:shd w:val="clear" w:color="auto" w:fill="F2F5F9"/>
            <w:tcMar>
              <w:top w:w="120" w:type="dxa"/>
              <w:left w:w="140" w:type="dxa"/>
              <w:bottom w:w="120" w:type="dxa"/>
              <w:right w:w="140" w:type="dxa"/>
            </w:tcMar>
          </w:tcPr>
          <w:p w14:paraId="2465B808" w14:textId="77777777" w:rsidR="00D10343" w:rsidRDefault="00000000">
            <w:r>
              <w:rPr>
                <w:rFonts w:ascii="Georgia" w:eastAsia="Georgia" w:hAnsi="Georgia" w:cs="Georgia"/>
                <w:color w:val="2C2C2C"/>
                <w:sz w:val="19"/>
                <w:szCs w:val="19"/>
              </w:rPr>
              <w:t>Stakeholder</w:t>
            </w:r>
          </w:p>
        </w:tc>
      </w:tr>
      <w:tr w:rsidR="00D10343" w14:paraId="744492A9" w14:textId="77777777">
        <w:tblPrEx>
          <w:tblCellMar>
            <w:top w:w="0" w:type="dxa"/>
            <w:bottom w:w="0" w:type="dxa"/>
          </w:tblCellMar>
        </w:tblPrEx>
        <w:tc>
          <w:tcPr>
            <w:tcW w:w="1600" w:type="dxa"/>
            <w:tcBorders>
              <w:top w:val="single" w:sz="4" w:space="0" w:color="C8D0DC"/>
              <w:left w:val="single" w:sz="4" w:space="0" w:color="C8D0DC"/>
              <w:bottom w:val="single" w:sz="4" w:space="0" w:color="C8D0DC"/>
              <w:right w:val="single" w:sz="4" w:space="0" w:color="C8D0DC"/>
            </w:tcBorders>
            <w:shd w:val="clear" w:color="auto" w:fill="FFFFFF"/>
            <w:tcMar>
              <w:top w:w="120" w:type="dxa"/>
              <w:left w:w="140" w:type="dxa"/>
              <w:bottom w:w="120" w:type="dxa"/>
              <w:right w:w="140" w:type="dxa"/>
            </w:tcMar>
          </w:tcPr>
          <w:p w14:paraId="7762C058" w14:textId="77777777" w:rsidR="00D10343" w:rsidRDefault="00D10343"/>
        </w:tc>
        <w:tc>
          <w:tcPr>
            <w:tcW w:w="1600" w:type="dxa"/>
            <w:tcBorders>
              <w:top w:val="single" w:sz="4" w:space="0" w:color="C8D0DC"/>
              <w:left w:val="single" w:sz="4" w:space="0" w:color="C8D0DC"/>
              <w:bottom w:val="single" w:sz="4" w:space="0" w:color="C8D0DC"/>
              <w:right w:val="single" w:sz="4" w:space="0" w:color="C8D0DC"/>
            </w:tcBorders>
            <w:shd w:val="clear" w:color="auto" w:fill="FFFFFF"/>
            <w:tcMar>
              <w:top w:w="120" w:type="dxa"/>
              <w:left w:w="140" w:type="dxa"/>
              <w:bottom w:w="120" w:type="dxa"/>
              <w:right w:w="140" w:type="dxa"/>
            </w:tcMar>
          </w:tcPr>
          <w:p w14:paraId="2279E2FC" w14:textId="77777777" w:rsidR="00D10343" w:rsidRDefault="00D10343"/>
        </w:tc>
        <w:tc>
          <w:tcPr>
            <w:tcW w:w="2800" w:type="dxa"/>
            <w:tcBorders>
              <w:top w:val="single" w:sz="4" w:space="0" w:color="C8D0DC"/>
              <w:left w:val="single" w:sz="4" w:space="0" w:color="C8D0DC"/>
              <w:bottom w:val="single" w:sz="4" w:space="0" w:color="C8D0DC"/>
              <w:right w:val="single" w:sz="4" w:space="0" w:color="C8D0DC"/>
            </w:tcBorders>
            <w:shd w:val="clear" w:color="auto" w:fill="FFFFFF"/>
            <w:tcMar>
              <w:top w:w="120" w:type="dxa"/>
              <w:left w:w="140" w:type="dxa"/>
              <w:bottom w:w="120" w:type="dxa"/>
              <w:right w:w="140" w:type="dxa"/>
            </w:tcMar>
          </w:tcPr>
          <w:p w14:paraId="3905B07E" w14:textId="77777777" w:rsidR="00D10343" w:rsidRDefault="00000000">
            <w:r>
              <w:rPr>
                <w:rFonts w:ascii="Georgia" w:eastAsia="Georgia" w:hAnsi="Georgia" w:cs="Georgia"/>
                <w:color w:val="2C2C2C"/>
                <w:sz w:val="19"/>
                <w:szCs w:val="19"/>
              </w:rPr>
              <w:t>Mike Whelan</w:t>
            </w:r>
          </w:p>
        </w:tc>
        <w:tc>
          <w:tcPr>
            <w:tcW w:w="3360" w:type="dxa"/>
            <w:tcBorders>
              <w:top w:val="single" w:sz="4" w:space="0" w:color="C8D0DC"/>
              <w:left w:val="single" w:sz="4" w:space="0" w:color="C8D0DC"/>
              <w:bottom w:val="single" w:sz="4" w:space="0" w:color="C8D0DC"/>
              <w:right w:val="single" w:sz="4" w:space="0" w:color="C8D0DC"/>
            </w:tcBorders>
            <w:shd w:val="clear" w:color="auto" w:fill="FFFFFF"/>
            <w:tcMar>
              <w:top w:w="120" w:type="dxa"/>
              <w:left w:w="140" w:type="dxa"/>
              <w:bottom w:w="120" w:type="dxa"/>
              <w:right w:w="140" w:type="dxa"/>
            </w:tcMar>
          </w:tcPr>
          <w:p w14:paraId="2A50AE89" w14:textId="77777777" w:rsidR="00D10343" w:rsidRDefault="00000000">
            <w:r>
              <w:rPr>
                <w:rFonts w:ascii="Georgia" w:eastAsia="Georgia" w:hAnsi="Georgia" w:cs="Georgia"/>
                <w:color w:val="2C2C2C"/>
                <w:sz w:val="19"/>
                <w:szCs w:val="19"/>
              </w:rPr>
              <w:t>Sponsor</w:t>
            </w:r>
          </w:p>
        </w:tc>
      </w:tr>
    </w:tbl>
    <w:p w14:paraId="05BB55E2" w14:textId="77777777" w:rsidR="00D10343" w:rsidRDefault="00D10343">
      <w:pPr>
        <w:spacing w:before="120" w:after="80"/>
      </w:pPr>
    </w:p>
    <w:sectPr w:rsidR="00D10343">
      <w:footerReference w:type="default" r:id="rId7"/>
      <w:pgSz w:w="12240" w:h="15840"/>
      <w:pgMar w:top="144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4C948" w14:textId="77777777" w:rsidR="0080050B" w:rsidRDefault="0080050B">
      <w:r>
        <w:separator/>
      </w:r>
    </w:p>
  </w:endnote>
  <w:endnote w:type="continuationSeparator" w:id="0">
    <w:p w14:paraId="2AF2C8C1" w14:textId="77777777" w:rsidR="0080050B" w:rsidRDefault="00800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373E1" w14:textId="77777777" w:rsidR="00D10343" w:rsidRDefault="00000000">
    <w:pPr>
      <w:pBdr>
        <w:top w:val="single" w:sz="4" w:space="4" w:color="C8D0DC"/>
      </w:pBdr>
      <w:tabs>
        <w:tab w:val="right" w:pos="9360"/>
      </w:tabs>
      <w:spacing w:before="100"/>
    </w:pPr>
    <w:r>
      <w:rPr>
        <w:rFonts w:ascii="Arial" w:eastAsia="Arial" w:hAnsi="Arial" w:cs="Arial"/>
        <w:color w:val="6B7A8D"/>
        <w:sz w:val="16"/>
        <w:szCs w:val="16"/>
      </w:rPr>
      <w:t xml:space="preserve">FCI Level </w:t>
    </w:r>
    <w:proofErr w:type="gramStart"/>
    <w:r>
      <w:rPr>
        <w:rFonts w:ascii="Arial" w:eastAsia="Arial" w:hAnsi="Arial" w:cs="Arial"/>
        <w:color w:val="6B7A8D"/>
        <w:sz w:val="16"/>
        <w:szCs w:val="16"/>
      </w:rPr>
      <w:t>2  |</w:t>
    </w:r>
    <w:proofErr w:type="gramEnd"/>
    <w:r>
      <w:rPr>
        <w:rFonts w:ascii="Arial" w:eastAsia="Arial" w:hAnsi="Arial" w:cs="Arial"/>
        <w:color w:val="6B7A8D"/>
        <w:sz w:val="16"/>
        <w:szCs w:val="16"/>
      </w:rPr>
      <w:t xml:space="preserve">  Internal — Confidential</w:t>
    </w:r>
    <w:r>
      <w:rPr>
        <w:rFonts w:ascii="Arial" w:eastAsia="Arial" w:hAnsi="Arial" w:cs="Arial"/>
        <w:sz w:val="16"/>
        <w:szCs w:val="16"/>
      </w:rPr>
      <w:tab/>
    </w:r>
    <w:r>
      <w:rPr>
        <w:rFonts w:ascii="Arial" w:eastAsia="Arial" w:hAnsi="Arial" w:cs="Arial"/>
        <w:color w:val="6B7A8D"/>
        <w:sz w:val="16"/>
        <w:szCs w:val="16"/>
      </w:rPr>
      <w:t xml:space="preserve">Page </w:t>
    </w:r>
    <w:r>
      <w:rPr>
        <w:rFonts w:ascii="Arial" w:eastAsia="Arial" w:hAnsi="Arial" w:cs="Arial"/>
        <w:color w:val="6B7A8D"/>
        <w:sz w:val="16"/>
        <w:szCs w:val="16"/>
      </w:rPr>
      <w:fldChar w:fldCharType="begin"/>
    </w:r>
    <w:r>
      <w:rPr>
        <w:rFonts w:ascii="Arial" w:eastAsia="Arial" w:hAnsi="Arial" w:cs="Arial"/>
        <w:color w:val="6B7A8D"/>
        <w:sz w:val="16"/>
        <w:szCs w:val="16"/>
      </w:rPr>
      <w:instrText>PAGE</w:instrText>
    </w:r>
    <w:r>
      <w:rPr>
        <w:rFonts w:ascii="Arial" w:eastAsia="Arial" w:hAnsi="Arial" w:cs="Arial"/>
        <w:color w:val="6B7A8D"/>
        <w:sz w:val="16"/>
        <w:szCs w:val="16"/>
      </w:rPr>
      <w:fldChar w:fldCharType="separate"/>
    </w:r>
    <w:r w:rsidR="008A661F">
      <w:rPr>
        <w:rFonts w:ascii="Arial" w:eastAsia="Arial" w:hAnsi="Arial" w:cs="Arial"/>
        <w:noProof/>
        <w:color w:val="6B7A8D"/>
        <w:sz w:val="16"/>
        <w:szCs w:val="16"/>
      </w:rPr>
      <w:t>1</w:t>
    </w:r>
    <w:r>
      <w:rPr>
        <w:rFonts w:ascii="Arial" w:eastAsia="Arial" w:hAnsi="Arial" w:cs="Arial"/>
        <w:color w:val="6B7A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D94E3" w14:textId="77777777" w:rsidR="0080050B" w:rsidRDefault="0080050B">
      <w:r>
        <w:separator/>
      </w:r>
    </w:p>
  </w:footnote>
  <w:footnote w:type="continuationSeparator" w:id="0">
    <w:p w14:paraId="37C3A374" w14:textId="77777777" w:rsidR="0080050B" w:rsidRDefault="008005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01350"/>
    <w:multiLevelType w:val="hybridMultilevel"/>
    <w:tmpl w:val="4D7CED7C"/>
    <w:lvl w:ilvl="0" w:tplc="4A98312E">
      <w:start w:val="1"/>
      <w:numFmt w:val="bullet"/>
      <w:lvlText w:val="–"/>
      <w:lvlJc w:val="left"/>
      <w:pPr>
        <w:ind w:left="560" w:hanging="280"/>
      </w:pPr>
      <w:rPr>
        <w:rFonts w:ascii="Arial" w:eastAsia="Arial" w:hAnsi="Arial" w:cs="Arial"/>
        <w:color w:val="2E4170"/>
      </w:rPr>
    </w:lvl>
    <w:lvl w:ilvl="1" w:tplc="0810A33E">
      <w:numFmt w:val="decimal"/>
      <w:lvlText w:val=""/>
      <w:lvlJc w:val="left"/>
    </w:lvl>
    <w:lvl w:ilvl="2" w:tplc="0DE20176">
      <w:numFmt w:val="decimal"/>
      <w:lvlText w:val=""/>
      <w:lvlJc w:val="left"/>
    </w:lvl>
    <w:lvl w:ilvl="3" w:tplc="6FD6061E">
      <w:numFmt w:val="decimal"/>
      <w:lvlText w:val=""/>
      <w:lvlJc w:val="left"/>
    </w:lvl>
    <w:lvl w:ilvl="4" w:tplc="09D48494">
      <w:numFmt w:val="decimal"/>
      <w:lvlText w:val=""/>
      <w:lvlJc w:val="left"/>
    </w:lvl>
    <w:lvl w:ilvl="5" w:tplc="AE403BEE">
      <w:numFmt w:val="decimal"/>
      <w:lvlText w:val=""/>
      <w:lvlJc w:val="left"/>
    </w:lvl>
    <w:lvl w:ilvl="6" w:tplc="64B02202">
      <w:numFmt w:val="decimal"/>
      <w:lvlText w:val=""/>
      <w:lvlJc w:val="left"/>
    </w:lvl>
    <w:lvl w:ilvl="7" w:tplc="E75E9E72">
      <w:numFmt w:val="decimal"/>
      <w:lvlText w:val=""/>
      <w:lvlJc w:val="left"/>
    </w:lvl>
    <w:lvl w:ilvl="8" w:tplc="28525604">
      <w:numFmt w:val="decimal"/>
      <w:lvlText w:val=""/>
      <w:lvlJc w:val="left"/>
    </w:lvl>
  </w:abstractNum>
  <w:abstractNum w:abstractNumId="1" w15:restartNumberingAfterBreak="0">
    <w:nsid w:val="4ECE6E78"/>
    <w:multiLevelType w:val="hybridMultilevel"/>
    <w:tmpl w:val="AEE88F80"/>
    <w:lvl w:ilvl="0" w:tplc="AFE2EB02">
      <w:start w:val="1"/>
      <w:numFmt w:val="bullet"/>
      <w:lvlText w:val="●"/>
      <w:lvlJc w:val="left"/>
      <w:pPr>
        <w:ind w:left="720" w:hanging="360"/>
      </w:pPr>
    </w:lvl>
    <w:lvl w:ilvl="1" w:tplc="3F12F9D0">
      <w:start w:val="1"/>
      <w:numFmt w:val="bullet"/>
      <w:lvlText w:val="○"/>
      <w:lvlJc w:val="left"/>
      <w:pPr>
        <w:ind w:left="1440" w:hanging="360"/>
      </w:pPr>
    </w:lvl>
    <w:lvl w:ilvl="2" w:tplc="4590270A">
      <w:start w:val="1"/>
      <w:numFmt w:val="bullet"/>
      <w:lvlText w:val="■"/>
      <w:lvlJc w:val="left"/>
      <w:pPr>
        <w:ind w:left="2160" w:hanging="360"/>
      </w:pPr>
    </w:lvl>
    <w:lvl w:ilvl="3" w:tplc="09AE92B0">
      <w:start w:val="1"/>
      <w:numFmt w:val="bullet"/>
      <w:lvlText w:val="●"/>
      <w:lvlJc w:val="left"/>
      <w:pPr>
        <w:ind w:left="2880" w:hanging="360"/>
      </w:pPr>
    </w:lvl>
    <w:lvl w:ilvl="4" w:tplc="FBEE94EA">
      <w:start w:val="1"/>
      <w:numFmt w:val="bullet"/>
      <w:lvlText w:val="○"/>
      <w:lvlJc w:val="left"/>
      <w:pPr>
        <w:ind w:left="3600" w:hanging="360"/>
      </w:pPr>
    </w:lvl>
    <w:lvl w:ilvl="5" w:tplc="4ADE8FC0">
      <w:start w:val="1"/>
      <w:numFmt w:val="bullet"/>
      <w:lvlText w:val="■"/>
      <w:lvlJc w:val="left"/>
      <w:pPr>
        <w:ind w:left="4320" w:hanging="360"/>
      </w:pPr>
    </w:lvl>
    <w:lvl w:ilvl="6" w:tplc="1E3EA9B2">
      <w:start w:val="1"/>
      <w:numFmt w:val="bullet"/>
      <w:lvlText w:val="●"/>
      <w:lvlJc w:val="left"/>
      <w:pPr>
        <w:ind w:left="5040" w:hanging="360"/>
      </w:pPr>
    </w:lvl>
    <w:lvl w:ilvl="7" w:tplc="91E8D942">
      <w:start w:val="1"/>
      <w:numFmt w:val="bullet"/>
      <w:lvlText w:val="●"/>
      <w:lvlJc w:val="left"/>
      <w:pPr>
        <w:ind w:left="5760" w:hanging="360"/>
      </w:pPr>
    </w:lvl>
    <w:lvl w:ilvl="8" w:tplc="52724EEE">
      <w:start w:val="1"/>
      <w:numFmt w:val="bullet"/>
      <w:lvlText w:val="●"/>
      <w:lvlJc w:val="left"/>
      <w:pPr>
        <w:ind w:left="6480" w:hanging="360"/>
      </w:pPr>
    </w:lvl>
  </w:abstractNum>
  <w:num w:numId="1" w16cid:durableId="1387604698">
    <w:abstractNumId w:val="1"/>
    <w:lvlOverride w:ilvl="0">
      <w:startOverride w:val="1"/>
    </w:lvlOverride>
  </w:num>
  <w:num w:numId="2" w16cid:durableId="258565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343"/>
    <w:rsid w:val="0080050B"/>
    <w:rsid w:val="008A661F"/>
    <w:rsid w:val="00D10343"/>
    <w:rsid w:val="00DF08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26850"/>
  <w15:docId w15:val="{ABB0202C-74E5-4F15-A0FA-6701108CC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1588</Words>
  <Characters>9056</Characters>
  <Application>Microsoft Office Word</Application>
  <DocSecurity>0</DocSecurity>
  <Lines>75</Lines>
  <Paragraphs>21</Paragraphs>
  <ScaleCrop>false</ScaleCrop>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Andreas</cp:lastModifiedBy>
  <cp:revision>2</cp:revision>
  <dcterms:created xsi:type="dcterms:W3CDTF">2026-03-05T12:05:00Z</dcterms:created>
  <dcterms:modified xsi:type="dcterms:W3CDTF">2026-03-05T12:08:00Z</dcterms:modified>
</cp:coreProperties>
</file>