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04E4" w:rsidRDefault="000404E4" w:rsidP="000404E4">
      <w:pPr>
        <w:jc w:val="center"/>
        <w:rPr>
          <w:sz w:val="48"/>
          <w:szCs w:val="48"/>
          <w:rtl/>
        </w:rPr>
      </w:pPr>
      <w:r>
        <w:rPr>
          <w:rFonts w:hint="cs"/>
          <w:sz w:val="48"/>
          <w:szCs w:val="48"/>
          <w:rtl/>
        </w:rPr>
        <w:t xml:space="preserve">بسم الله الرحمن الرحيم.   </w:t>
      </w:r>
    </w:p>
    <w:p w:rsidR="00A047BA" w:rsidRDefault="00E3042F" w:rsidP="000404E4">
      <w:pPr>
        <w:rPr>
          <w:sz w:val="48"/>
          <w:szCs w:val="48"/>
          <w:rtl/>
        </w:rPr>
      </w:pPr>
      <w:r>
        <w:rPr>
          <w:rFonts w:hint="cs"/>
          <w:sz w:val="48"/>
          <w:szCs w:val="48"/>
          <w:rtl/>
        </w:rPr>
        <w:t>٢٣</w:t>
      </w:r>
      <w:r w:rsidR="000404E4">
        <w:rPr>
          <w:rFonts w:hint="cs"/>
          <w:sz w:val="48"/>
          <w:szCs w:val="48"/>
          <w:rtl/>
        </w:rPr>
        <w:t xml:space="preserve"> رمضان ١٤٤٦هجرية</w:t>
      </w:r>
    </w:p>
    <w:p w:rsidR="000404E4" w:rsidRDefault="000404E4" w:rsidP="000404E4">
      <w:pPr>
        <w:ind w:left="-567"/>
        <w:jc w:val="right"/>
        <w:rPr>
          <w:sz w:val="48"/>
          <w:szCs w:val="48"/>
          <w:rtl/>
        </w:rPr>
      </w:pPr>
      <w:r>
        <w:rPr>
          <w:rFonts w:hint="cs"/>
          <w:sz w:val="48"/>
          <w:szCs w:val="48"/>
          <w:rtl/>
        </w:rPr>
        <w:t>تعلن جمعية الإمام الهادي عليه السلام (جمعية العلي الاستثمارية) عن نتائجها المالية للسنة الأولى للصندوقين الاستثماريين الأول والثاني، مع ملاحظة أن الصندوق الأول قد أتم سنة مالية كاملة بينما الصندوق الثاني قد أتم ستة أشهر فقط. علماً أن الأرباح المعلنة للصندوقين سيتم توزيعها على المساهمين خلال هذا الشهر.</w:t>
      </w:r>
    </w:p>
    <w:p w:rsidR="000404E4" w:rsidRPr="00484A05" w:rsidRDefault="000404E4" w:rsidP="000404E4">
      <w:pPr>
        <w:jc w:val="right"/>
        <w:rPr>
          <w:rFonts w:hint="cs"/>
          <w:sz w:val="48"/>
          <w:szCs w:val="48"/>
          <w:rtl/>
          <w:lang w:val="en-US"/>
        </w:rPr>
      </w:pPr>
      <w:r>
        <w:rPr>
          <w:rFonts w:hint="cs"/>
          <w:sz w:val="48"/>
          <w:szCs w:val="48"/>
          <w:rtl/>
        </w:rPr>
        <w:t>وفيما يلي ٣ جداول كالتالي:</w:t>
      </w:r>
    </w:p>
    <w:p w:rsidR="000404E4" w:rsidRDefault="000404E4" w:rsidP="000404E4">
      <w:pPr>
        <w:pStyle w:val="ListParagraph"/>
        <w:ind w:left="1080"/>
        <w:jc w:val="right"/>
        <w:rPr>
          <w:sz w:val="48"/>
          <w:szCs w:val="48"/>
          <w:rtl/>
        </w:rPr>
      </w:pPr>
      <w:r w:rsidRPr="000404E4">
        <w:rPr>
          <w:rFonts w:hint="cs"/>
          <w:color w:val="FF0000"/>
          <w:sz w:val="48"/>
          <w:szCs w:val="48"/>
          <w:rtl/>
        </w:rPr>
        <w:t xml:space="preserve">أولا: </w:t>
      </w:r>
      <w:r>
        <w:rPr>
          <w:rFonts w:hint="cs"/>
          <w:sz w:val="48"/>
          <w:szCs w:val="48"/>
          <w:rtl/>
        </w:rPr>
        <w:t>الجدول الأول ويتضمن تفاصيل الصندوق الأول ونتائجه المالية.</w:t>
      </w:r>
    </w:p>
    <w:p w:rsidR="000404E4" w:rsidRDefault="000404E4" w:rsidP="000404E4">
      <w:pPr>
        <w:pStyle w:val="ListParagraph"/>
        <w:ind w:left="1080"/>
        <w:jc w:val="right"/>
        <w:rPr>
          <w:sz w:val="48"/>
          <w:szCs w:val="48"/>
          <w:rtl/>
        </w:rPr>
      </w:pPr>
      <w:r w:rsidRPr="000404E4">
        <w:rPr>
          <w:rFonts w:hint="cs"/>
          <w:color w:val="FF0000"/>
          <w:sz w:val="48"/>
          <w:szCs w:val="48"/>
          <w:rtl/>
        </w:rPr>
        <w:t xml:space="preserve">ثانيا: </w:t>
      </w:r>
      <w:r>
        <w:rPr>
          <w:rFonts w:hint="cs"/>
          <w:sz w:val="48"/>
          <w:szCs w:val="48"/>
          <w:rtl/>
        </w:rPr>
        <w:t>الجدول الثاني ويتضمن تفاصيل الصندوق الثاني ونتائجه المالية</w:t>
      </w:r>
    </w:p>
    <w:p w:rsidR="000404E4" w:rsidRDefault="000404E4" w:rsidP="000404E4">
      <w:pPr>
        <w:pStyle w:val="ListParagraph"/>
        <w:ind w:left="1080"/>
        <w:jc w:val="right"/>
        <w:rPr>
          <w:sz w:val="48"/>
          <w:szCs w:val="48"/>
          <w:rtl/>
        </w:rPr>
      </w:pPr>
      <w:r w:rsidRPr="000404E4">
        <w:rPr>
          <w:rFonts w:hint="cs"/>
          <w:color w:val="FF0000"/>
          <w:sz w:val="48"/>
          <w:szCs w:val="48"/>
          <w:rtl/>
        </w:rPr>
        <w:t xml:space="preserve">ثالثا: </w:t>
      </w:r>
      <w:r>
        <w:rPr>
          <w:rFonts w:hint="cs"/>
          <w:sz w:val="48"/>
          <w:szCs w:val="48"/>
          <w:rtl/>
        </w:rPr>
        <w:t xml:space="preserve">الجدول الثالث ويتضمن </w:t>
      </w:r>
      <w:r w:rsidR="00484A05">
        <w:rPr>
          <w:rFonts w:hint="cs"/>
          <w:sz w:val="48"/>
          <w:szCs w:val="48"/>
          <w:rtl/>
        </w:rPr>
        <w:t xml:space="preserve">إجمالي مساهمات المساهمين </w:t>
      </w:r>
      <w:r w:rsidR="00A41667">
        <w:rPr>
          <w:rFonts w:hint="cs"/>
          <w:sz w:val="48"/>
          <w:szCs w:val="48"/>
          <w:rtl/>
        </w:rPr>
        <w:t>في</w:t>
      </w:r>
      <w:r w:rsidR="00484A05">
        <w:rPr>
          <w:rFonts w:hint="cs"/>
          <w:sz w:val="48"/>
          <w:szCs w:val="48"/>
          <w:rtl/>
        </w:rPr>
        <w:t xml:space="preserve"> الصندوقين ومايقابلها من ذهب (بعد توزيع أرباح الفترة الماضية) </w:t>
      </w:r>
      <w:r w:rsidR="00A41667">
        <w:rPr>
          <w:rFonts w:hint="cs"/>
          <w:sz w:val="48"/>
          <w:szCs w:val="48"/>
          <w:rtl/>
        </w:rPr>
        <w:t xml:space="preserve">وهو ما </w:t>
      </w:r>
      <w:r w:rsidR="00484A05">
        <w:rPr>
          <w:rFonts w:hint="cs"/>
          <w:sz w:val="48"/>
          <w:szCs w:val="48"/>
          <w:rtl/>
        </w:rPr>
        <w:t>في ذمة المستثمر في بداية هذه السنة المالية الجديدة.</w:t>
      </w:r>
    </w:p>
    <w:p w:rsidR="000404E4" w:rsidRPr="000404E4" w:rsidRDefault="000404E4" w:rsidP="000404E4">
      <w:pPr>
        <w:pStyle w:val="ListParagraph"/>
        <w:ind w:left="1080"/>
        <w:jc w:val="right"/>
        <w:rPr>
          <w:color w:val="7030A0"/>
          <w:sz w:val="48"/>
          <w:szCs w:val="48"/>
          <w:rtl/>
        </w:rPr>
      </w:pPr>
      <w:r w:rsidRPr="000404E4">
        <w:rPr>
          <w:rFonts w:hint="cs"/>
          <w:color w:val="7030A0"/>
          <w:sz w:val="48"/>
          <w:szCs w:val="48"/>
          <w:highlight w:val="lightGray"/>
          <w:rtl/>
        </w:rPr>
        <w:t>كما تعلن الجمعية عن بدأ استقبال المساهمات لتأسيس صندوق استثماري جديد باسم (</w:t>
      </w:r>
      <w:r w:rsidR="00484A05">
        <w:rPr>
          <w:rFonts w:hint="cs"/>
          <w:color w:val="7030A0"/>
          <w:sz w:val="48"/>
          <w:szCs w:val="48"/>
          <w:highlight w:val="lightGray"/>
          <w:rtl/>
        </w:rPr>
        <w:t>الصندوق الثالث</w:t>
      </w:r>
      <w:r w:rsidRPr="000404E4">
        <w:rPr>
          <w:rFonts w:hint="cs"/>
          <w:color w:val="7030A0"/>
          <w:sz w:val="48"/>
          <w:szCs w:val="48"/>
          <w:highlight w:val="lightGray"/>
          <w:rtl/>
        </w:rPr>
        <w:t>)، علما أن آخر موعد لتلقي المساهمات للصندوق الجديد هو ٩ شوال ١٤٤٦هجرية.</w:t>
      </w:r>
      <w:r w:rsidRPr="000404E4">
        <w:rPr>
          <w:rFonts w:hint="cs"/>
          <w:color w:val="7030A0"/>
          <w:sz w:val="48"/>
          <w:szCs w:val="48"/>
          <w:rtl/>
        </w:rPr>
        <w:t xml:space="preserve"> </w:t>
      </w:r>
    </w:p>
    <w:p w:rsidR="000404E4" w:rsidRDefault="000404E4" w:rsidP="000404E4">
      <w:pPr>
        <w:pStyle w:val="ListParagraph"/>
        <w:ind w:left="1080"/>
        <w:jc w:val="right"/>
        <w:rPr>
          <w:sz w:val="48"/>
          <w:szCs w:val="48"/>
          <w:rtl/>
        </w:rPr>
      </w:pPr>
    </w:p>
    <w:p w:rsidR="000404E4" w:rsidRDefault="000404E4" w:rsidP="000404E4">
      <w:pPr>
        <w:pStyle w:val="ListParagraph"/>
        <w:ind w:left="1080"/>
        <w:jc w:val="right"/>
        <w:rPr>
          <w:sz w:val="48"/>
          <w:szCs w:val="48"/>
          <w:rtl/>
        </w:rPr>
      </w:pPr>
    </w:p>
    <w:p w:rsidR="000404E4" w:rsidRDefault="000404E4" w:rsidP="000404E4">
      <w:pPr>
        <w:pStyle w:val="ListParagraph"/>
        <w:ind w:left="1080"/>
        <w:jc w:val="right"/>
        <w:rPr>
          <w:sz w:val="48"/>
          <w:szCs w:val="48"/>
          <w:rtl/>
        </w:rPr>
      </w:pPr>
    </w:p>
    <w:p w:rsidR="000404E4" w:rsidRPr="000404E4" w:rsidRDefault="000404E4" w:rsidP="000404E4">
      <w:pPr>
        <w:pStyle w:val="ListParagraph"/>
        <w:ind w:left="1080"/>
        <w:jc w:val="center"/>
        <w:rPr>
          <w:color w:val="2F5496" w:themeColor="accent1" w:themeShade="BF"/>
          <w:sz w:val="48"/>
          <w:szCs w:val="48"/>
          <w:rtl/>
        </w:rPr>
      </w:pPr>
      <w:r w:rsidRPr="000404E4">
        <w:rPr>
          <w:rFonts w:hint="cs"/>
          <w:color w:val="2F5496" w:themeColor="accent1" w:themeShade="BF"/>
          <w:sz w:val="48"/>
          <w:szCs w:val="48"/>
          <w:rtl/>
        </w:rPr>
        <w:lastRenderedPageBreak/>
        <w:t>الجدول الأول: تفاصيل الصندوق</w:t>
      </w:r>
      <w:r>
        <w:rPr>
          <w:rFonts w:hint="cs"/>
          <w:color w:val="2F5496" w:themeColor="accent1" w:themeShade="BF"/>
          <w:sz w:val="48"/>
          <w:szCs w:val="48"/>
          <w:rtl/>
        </w:rPr>
        <w:t xml:space="preserve"> الاستثماري</w:t>
      </w:r>
      <w:r w:rsidRPr="000404E4">
        <w:rPr>
          <w:rFonts w:hint="cs"/>
          <w:color w:val="2F5496" w:themeColor="accent1" w:themeShade="BF"/>
          <w:sz w:val="48"/>
          <w:szCs w:val="48"/>
          <w:rtl/>
        </w:rPr>
        <w:t xml:space="preserve"> الأول ونتائجه المالية </w:t>
      </w:r>
      <w:proofErr w:type="gramStart"/>
      <w:r w:rsidRPr="000404E4">
        <w:rPr>
          <w:rFonts w:hint="cs"/>
          <w:color w:val="2F5496" w:themeColor="accent1" w:themeShade="BF"/>
          <w:sz w:val="48"/>
          <w:szCs w:val="48"/>
          <w:rtl/>
        </w:rPr>
        <w:t>( نتائج</w:t>
      </w:r>
      <w:proofErr w:type="gramEnd"/>
      <w:r w:rsidRPr="000404E4">
        <w:rPr>
          <w:rFonts w:hint="cs"/>
          <w:color w:val="2F5496" w:themeColor="accent1" w:themeShade="BF"/>
          <w:sz w:val="48"/>
          <w:szCs w:val="48"/>
          <w:rtl/>
        </w:rPr>
        <w:t xml:space="preserve"> استثمار سنة كاملة)</w:t>
      </w:r>
    </w:p>
    <w:tbl>
      <w:tblPr>
        <w:tblStyle w:val="TableGrid"/>
        <w:tblW w:w="0" w:type="auto"/>
        <w:tblInd w:w="-289" w:type="dxa"/>
        <w:tblLook w:val="04A0" w:firstRow="1" w:lastRow="0" w:firstColumn="1" w:lastColumn="0" w:noHBand="0" w:noVBand="1"/>
      </w:tblPr>
      <w:tblGrid>
        <w:gridCol w:w="2119"/>
        <w:gridCol w:w="1479"/>
        <w:gridCol w:w="1379"/>
        <w:gridCol w:w="1643"/>
        <w:gridCol w:w="1469"/>
        <w:gridCol w:w="1550"/>
      </w:tblGrid>
      <w:tr w:rsidR="000404E4" w:rsidTr="000404E4">
        <w:tc>
          <w:tcPr>
            <w:tcW w:w="2403" w:type="dxa"/>
          </w:tcPr>
          <w:p w:rsidR="000404E4" w:rsidRPr="000404E4" w:rsidRDefault="000404E4" w:rsidP="000404E4">
            <w:pPr>
              <w:pStyle w:val="ListParagraph"/>
              <w:ind w:left="0"/>
              <w:jc w:val="center"/>
              <w:rPr>
                <w:sz w:val="40"/>
                <w:szCs w:val="40"/>
              </w:rPr>
            </w:pPr>
            <w:r w:rsidRPr="000404E4">
              <w:rPr>
                <w:rFonts w:hint="cs"/>
                <w:sz w:val="40"/>
                <w:szCs w:val="40"/>
                <w:rtl/>
              </w:rPr>
              <w:t>أرباح الصندوق بعد خصم المصاريف وهي الأرباح التي ستوزع</w:t>
            </w:r>
          </w:p>
        </w:tc>
        <w:tc>
          <w:tcPr>
            <w:tcW w:w="1440" w:type="dxa"/>
          </w:tcPr>
          <w:p w:rsidR="000404E4" w:rsidRPr="000404E4" w:rsidRDefault="000404E4" w:rsidP="000404E4">
            <w:pPr>
              <w:pStyle w:val="ListParagraph"/>
              <w:ind w:left="0"/>
              <w:jc w:val="center"/>
              <w:rPr>
                <w:sz w:val="40"/>
                <w:szCs w:val="40"/>
              </w:rPr>
            </w:pPr>
            <w:r w:rsidRPr="000404E4">
              <w:rPr>
                <w:rFonts w:hint="cs"/>
                <w:sz w:val="40"/>
                <w:szCs w:val="40"/>
                <w:rtl/>
              </w:rPr>
              <w:t>أرباح الصندوق</w:t>
            </w:r>
          </w:p>
        </w:tc>
        <w:tc>
          <w:tcPr>
            <w:tcW w:w="1040" w:type="dxa"/>
          </w:tcPr>
          <w:p w:rsidR="000404E4" w:rsidRPr="000404E4" w:rsidRDefault="000404E4" w:rsidP="000404E4">
            <w:pPr>
              <w:pStyle w:val="ListParagraph"/>
              <w:ind w:left="0"/>
              <w:jc w:val="center"/>
              <w:rPr>
                <w:rFonts w:hint="cs"/>
                <w:sz w:val="40"/>
                <w:szCs w:val="40"/>
                <w:rtl/>
              </w:rPr>
            </w:pPr>
            <w:r>
              <w:rPr>
                <w:rFonts w:hint="cs"/>
                <w:sz w:val="40"/>
                <w:szCs w:val="40"/>
                <w:rtl/>
              </w:rPr>
              <w:t>يقابلها ذهب عيار ٢٤</w:t>
            </w:r>
          </w:p>
        </w:tc>
        <w:tc>
          <w:tcPr>
            <w:tcW w:w="1676" w:type="dxa"/>
          </w:tcPr>
          <w:p w:rsidR="000404E4" w:rsidRPr="000404E4" w:rsidRDefault="000404E4" w:rsidP="000404E4">
            <w:pPr>
              <w:pStyle w:val="ListParagraph"/>
              <w:ind w:left="0"/>
              <w:jc w:val="center"/>
              <w:rPr>
                <w:sz w:val="40"/>
                <w:szCs w:val="40"/>
              </w:rPr>
            </w:pPr>
            <w:r w:rsidRPr="000404E4">
              <w:rPr>
                <w:rFonts w:hint="cs"/>
                <w:sz w:val="40"/>
                <w:szCs w:val="40"/>
                <w:rtl/>
              </w:rPr>
              <w:t>رأس المال بعد خصم المصاريف</w:t>
            </w:r>
          </w:p>
        </w:tc>
        <w:tc>
          <w:tcPr>
            <w:tcW w:w="1499" w:type="dxa"/>
          </w:tcPr>
          <w:p w:rsidR="000404E4" w:rsidRPr="000404E4" w:rsidRDefault="000404E4" w:rsidP="000404E4">
            <w:pPr>
              <w:pStyle w:val="ListParagraph"/>
              <w:ind w:left="0"/>
              <w:jc w:val="center"/>
              <w:rPr>
                <w:sz w:val="40"/>
                <w:szCs w:val="40"/>
              </w:rPr>
            </w:pPr>
            <w:r w:rsidRPr="000404E4">
              <w:rPr>
                <w:rFonts w:hint="cs"/>
                <w:sz w:val="40"/>
                <w:szCs w:val="40"/>
                <w:rtl/>
              </w:rPr>
              <w:t>مصاريف الصندوق الإدارية</w:t>
            </w:r>
          </w:p>
        </w:tc>
        <w:tc>
          <w:tcPr>
            <w:tcW w:w="1581" w:type="dxa"/>
          </w:tcPr>
          <w:p w:rsidR="000404E4" w:rsidRPr="000404E4" w:rsidRDefault="000404E4" w:rsidP="000404E4">
            <w:pPr>
              <w:pStyle w:val="ListParagraph"/>
              <w:ind w:left="0"/>
              <w:jc w:val="center"/>
              <w:rPr>
                <w:sz w:val="40"/>
                <w:szCs w:val="40"/>
              </w:rPr>
            </w:pPr>
            <w:r w:rsidRPr="000404E4">
              <w:rPr>
                <w:rFonts w:hint="cs"/>
                <w:sz w:val="40"/>
                <w:szCs w:val="40"/>
                <w:rtl/>
              </w:rPr>
              <w:t>قيمة رأس مال المساهمين</w:t>
            </w:r>
          </w:p>
        </w:tc>
      </w:tr>
      <w:tr w:rsidR="000404E4" w:rsidTr="000404E4">
        <w:tc>
          <w:tcPr>
            <w:tcW w:w="2403" w:type="dxa"/>
          </w:tcPr>
          <w:p w:rsidR="000404E4" w:rsidRDefault="000404E4" w:rsidP="000404E4">
            <w:pPr>
              <w:pStyle w:val="ListParagraph"/>
              <w:ind w:left="0"/>
              <w:jc w:val="right"/>
              <w:rPr>
                <w:sz w:val="48"/>
                <w:szCs w:val="48"/>
              </w:rPr>
            </w:pPr>
            <w:r>
              <w:rPr>
                <w:rFonts w:hint="cs"/>
                <w:sz w:val="48"/>
                <w:szCs w:val="48"/>
                <w:rtl/>
              </w:rPr>
              <w:t>١٠٥٣٤ ريال</w:t>
            </w:r>
          </w:p>
        </w:tc>
        <w:tc>
          <w:tcPr>
            <w:tcW w:w="1440" w:type="dxa"/>
          </w:tcPr>
          <w:p w:rsidR="000404E4" w:rsidRDefault="000404E4" w:rsidP="000404E4">
            <w:pPr>
              <w:pStyle w:val="ListParagraph"/>
              <w:ind w:left="0"/>
              <w:jc w:val="right"/>
              <w:rPr>
                <w:sz w:val="48"/>
                <w:szCs w:val="48"/>
              </w:rPr>
            </w:pPr>
            <w:r>
              <w:rPr>
                <w:rFonts w:hint="cs"/>
                <w:sz w:val="48"/>
                <w:szCs w:val="48"/>
                <w:rtl/>
              </w:rPr>
              <w:t>١٠٧٠٩ ريال</w:t>
            </w:r>
          </w:p>
        </w:tc>
        <w:tc>
          <w:tcPr>
            <w:tcW w:w="1040" w:type="dxa"/>
          </w:tcPr>
          <w:p w:rsidR="000404E4" w:rsidRDefault="000404E4" w:rsidP="000404E4">
            <w:pPr>
              <w:pStyle w:val="ListParagraph"/>
              <w:ind w:left="0"/>
              <w:jc w:val="right"/>
              <w:rPr>
                <w:rFonts w:hint="cs"/>
                <w:sz w:val="48"/>
                <w:szCs w:val="48"/>
                <w:rtl/>
              </w:rPr>
            </w:pPr>
            <w:r>
              <w:rPr>
                <w:rFonts w:hint="cs"/>
                <w:sz w:val="48"/>
                <w:szCs w:val="48"/>
                <w:rtl/>
              </w:rPr>
              <w:t>٣٣٩،٦ جرام</w:t>
            </w:r>
          </w:p>
        </w:tc>
        <w:tc>
          <w:tcPr>
            <w:tcW w:w="1676" w:type="dxa"/>
          </w:tcPr>
          <w:p w:rsidR="000404E4" w:rsidRDefault="000404E4" w:rsidP="000404E4">
            <w:pPr>
              <w:pStyle w:val="ListParagraph"/>
              <w:ind w:left="0"/>
              <w:jc w:val="right"/>
              <w:rPr>
                <w:sz w:val="48"/>
                <w:szCs w:val="48"/>
              </w:rPr>
            </w:pPr>
            <w:r>
              <w:rPr>
                <w:rFonts w:hint="cs"/>
                <w:sz w:val="48"/>
                <w:szCs w:val="48"/>
                <w:rtl/>
              </w:rPr>
              <w:t>٨٣٣٢٥ ريال</w:t>
            </w:r>
          </w:p>
        </w:tc>
        <w:tc>
          <w:tcPr>
            <w:tcW w:w="1499" w:type="dxa"/>
          </w:tcPr>
          <w:p w:rsidR="000404E4" w:rsidRDefault="000404E4" w:rsidP="000404E4">
            <w:pPr>
              <w:pStyle w:val="ListParagraph"/>
              <w:ind w:left="0"/>
              <w:jc w:val="right"/>
              <w:rPr>
                <w:sz w:val="48"/>
                <w:szCs w:val="48"/>
              </w:rPr>
            </w:pPr>
            <w:r>
              <w:rPr>
                <w:rFonts w:hint="cs"/>
                <w:sz w:val="48"/>
                <w:szCs w:val="48"/>
                <w:rtl/>
              </w:rPr>
              <w:t>١٧٥ ريال</w:t>
            </w:r>
          </w:p>
        </w:tc>
        <w:tc>
          <w:tcPr>
            <w:tcW w:w="1581" w:type="dxa"/>
          </w:tcPr>
          <w:p w:rsidR="000404E4" w:rsidRDefault="000404E4" w:rsidP="000404E4">
            <w:pPr>
              <w:pStyle w:val="ListParagraph"/>
              <w:ind w:left="0"/>
              <w:jc w:val="right"/>
              <w:rPr>
                <w:sz w:val="48"/>
                <w:szCs w:val="48"/>
              </w:rPr>
            </w:pPr>
            <w:r>
              <w:rPr>
                <w:rFonts w:hint="cs"/>
                <w:sz w:val="48"/>
                <w:szCs w:val="48"/>
                <w:rtl/>
              </w:rPr>
              <w:t>٨٣٥٠٠ ريال</w:t>
            </w:r>
          </w:p>
        </w:tc>
      </w:tr>
    </w:tbl>
    <w:p w:rsidR="000404E4" w:rsidRP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r w:rsidRPr="000404E4">
        <w:rPr>
          <w:rFonts w:hint="cs"/>
          <w:color w:val="2F5496" w:themeColor="accent1" w:themeShade="BF"/>
          <w:sz w:val="48"/>
          <w:szCs w:val="48"/>
          <w:rtl/>
        </w:rPr>
        <w:lastRenderedPageBreak/>
        <w:t>الجدول الثاني: تفاصيل الصندوق الاستثماري الثاني ونتائجه المالية (نتائج استثمار ستة أشهر)</w:t>
      </w:r>
    </w:p>
    <w:tbl>
      <w:tblPr>
        <w:tblStyle w:val="TableGrid"/>
        <w:tblW w:w="0" w:type="auto"/>
        <w:tblInd w:w="-289" w:type="dxa"/>
        <w:tblLook w:val="04A0" w:firstRow="1" w:lastRow="0" w:firstColumn="1" w:lastColumn="0" w:noHBand="0" w:noVBand="1"/>
      </w:tblPr>
      <w:tblGrid>
        <w:gridCol w:w="2419"/>
        <w:gridCol w:w="1359"/>
        <w:gridCol w:w="1379"/>
        <w:gridCol w:w="1579"/>
        <w:gridCol w:w="1413"/>
        <w:gridCol w:w="1490"/>
      </w:tblGrid>
      <w:tr w:rsidR="000404E4" w:rsidTr="000404E4">
        <w:tc>
          <w:tcPr>
            <w:tcW w:w="2930" w:type="dxa"/>
          </w:tcPr>
          <w:p w:rsidR="000404E4" w:rsidRPr="000404E4" w:rsidRDefault="000404E4" w:rsidP="000404E4">
            <w:pPr>
              <w:pStyle w:val="ListParagraph"/>
              <w:ind w:left="0"/>
              <w:jc w:val="center"/>
              <w:rPr>
                <w:color w:val="000000" w:themeColor="text1"/>
                <w:sz w:val="40"/>
                <w:szCs w:val="40"/>
              </w:rPr>
            </w:pPr>
            <w:r w:rsidRPr="000404E4">
              <w:rPr>
                <w:rFonts w:hint="cs"/>
                <w:color w:val="000000" w:themeColor="text1"/>
                <w:sz w:val="40"/>
                <w:szCs w:val="40"/>
                <w:rtl/>
              </w:rPr>
              <w:t>أرباح الصندوق الصافية بعد خصم المصاريف وهي الأرباح التي ستوزع</w:t>
            </w:r>
          </w:p>
        </w:tc>
        <w:tc>
          <w:tcPr>
            <w:tcW w:w="1344" w:type="dxa"/>
          </w:tcPr>
          <w:p w:rsidR="000404E4" w:rsidRPr="000404E4" w:rsidRDefault="000404E4" w:rsidP="000404E4">
            <w:pPr>
              <w:pStyle w:val="ListParagraph"/>
              <w:ind w:left="0"/>
              <w:jc w:val="center"/>
              <w:rPr>
                <w:color w:val="000000" w:themeColor="text1"/>
                <w:sz w:val="40"/>
                <w:szCs w:val="40"/>
              </w:rPr>
            </w:pPr>
            <w:r w:rsidRPr="000404E4">
              <w:rPr>
                <w:rFonts w:hint="cs"/>
                <w:color w:val="000000" w:themeColor="text1"/>
                <w:sz w:val="40"/>
                <w:szCs w:val="40"/>
                <w:rtl/>
              </w:rPr>
              <w:t>أرباح الصندوق</w:t>
            </w:r>
          </w:p>
        </w:tc>
        <w:tc>
          <w:tcPr>
            <w:tcW w:w="932" w:type="dxa"/>
          </w:tcPr>
          <w:p w:rsidR="000404E4" w:rsidRPr="000404E4" w:rsidRDefault="000404E4" w:rsidP="000404E4">
            <w:pPr>
              <w:pStyle w:val="ListParagraph"/>
              <w:ind w:left="0"/>
              <w:jc w:val="center"/>
              <w:rPr>
                <w:color w:val="000000" w:themeColor="text1"/>
                <w:sz w:val="40"/>
                <w:szCs w:val="40"/>
              </w:rPr>
            </w:pPr>
            <w:r w:rsidRPr="000404E4">
              <w:rPr>
                <w:rFonts w:hint="cs"/>
                <w:color w:val="000000" w:themeColor="text1"/>
                <w:sz w:val="40"/>
                <w:szCs w:val="40"/>
                <w:rtl/>
              </w:rPr>
              <w:t>يقابلها ذهب عيار ٢٤</w:t>
            </w:r>
          </w:p>
        </w:tc>
        <w:tc>
          <w:tcPr>
            <w:tcW w:w="1561" w:type="dxa"/>
          </w:tcPr>
          <w:p w:rsidR="000404E4" w:rsidRPr="000404E4" w:rsidRDefault="000404E4" w:rsidP="000404E4">
            <w:pPr>
              <w:pStyle w:val="ListParagraph"/>
              <w:ind w:left="0"/>
              <w:jc w:val="center"/>
              <w:rPr>
                <w:color w:val="000000" w:themeColor="text1"/>
                <w:sz w:val="40"/>
                <w:szCs w:val="40"/>
              </w:rPr>
            </w:pPr>
            <w:r w:rsidRPr="000404E4">
              <w:rPr>
                <w:rFonts w:hint="cs"/>
                <w:color w:val="000000" w:themeColor="text1"/>
                <w:sz w:val="40"/>
                <w:szCs w:val="40"/>
                <w:rtl/>
              </w:rPr>
              <w:t>رأس المال بعد خصم المصاريف</w:t>
            </w:r>
          </w:p>
        </w:tc>
        <w:tc>
          <w:tcPr>
            <w:tcW w:w="1398" w:type="dxa"/>
          </w:tcPr>
          <w:p w:rsidR="000404E4" w:rsidRPr="000404E4" w:rsidRDefault="000404E4" w:rsidP="000404E4">
            <w:pPr>
              <w:pStyle w:val="ListParagraph"/>
              <w:ind w:left="0"/>
              <w:jc w:val="center"/>
              <w:rPr>
                <w:color w:val="000000" w:themeColor="text1"/>
                <w:sz w:val="40"/>
                <w:szCs w:val="40"/>
              </w:rPr>
            </w:pPr>
            <w:r w:rsidRPr="000404E4">
              <w:rPr>
                <w:rFonts w:hint="cs"/>
                <w:color w:val="000000" w:themeColor="text1"/>
                <w:sz w:val="40"/>
                <w:szCs w:val="40"/>
                <w:rtl/>
              </w:rPr>
              <w:t>مصاريف الصندوق الإدارية</w:t>
            </w:r>
          </w:p>
        </w:tc>
        <w:tc>
          <w:tcPr>
            <w:tcW w:w="1474" w:type="dxa"/>
          </w:tcPr>
          <w:p w:rsidR="000404E4" w:rsidRPr="000404E4" w:rsidRDefault="000404E4" w:rsidP="000404E4">
            <w:pPr>
              <w:pStyle w:val="ListParagraph"/>
              <w:ind w:left="0"/>
              <w:jc w:val="center"/>
              <w:rPr>
                <w:color w:val="000000" w:themeColor="text1"/>
                <w:sz w:val="40"/>
                <w:szCs w:val="40"/>
              </w:rPr>
            </w:pPr>
            <w:r w:rsidRPr="000404E4">
              <w:rPr>
                <w:rFonts w:hint="cs"/>
                <w:color w:val="000000" w:themeColor="text1"/>
                <w:sz w:val="40"/>
                <w:szCs w:val="40"/>
                <w:rtl/>
              </w:rPr>
              <w:t>قيمة رأس مال المساهمين</w:t>
            </w:r>
          </w:p>
        </w:tc>
      </w:tr>
      <w:tr w:rsidR="000404E4" w:rsidTr="000404E4">
        <w:tc>
          <w:tcPr>
            <w:tcW w:w="2930" w:type="dxa"/>
          </w:tcPr>
          <w:p w:rsidR="000404E4" w:rsidRPr="000404E4" w:rsidRDefault="000404E4" w:rsidP="000404E4">
            <w:pPr>
              <w:pStyle w:val="ListParagraph"/>
              <w:ind w:left="0"/>
              <w:jc w:val="center"/>
              <w:rPr>
                <w:color w:val="538135" w:themeColor="accent6" w:themeShade="BF"/>
                <w:sz w:val="48"/>
                <w:szCs w:val="48"/>
              </w:rPr>
            </w:pPr>
            <w:r w:rsidRPr="000404E4">
              <w:rPr>
                <w:rFonts w:hint="cs"/>
                <w:color w:val="538135" w:themeColor="accent6" w:themeShade="BF"/>
                <w:sz w:val="48"/>
                <w:szCs w:val="48"/>
                <w:rtl/>
              </w:rPr>
              <w:t>١١٠١ ريال</w:t>
            </w:r>
          </w:p>
        </w:tc>
        <w:tc>
          <w:tcPr>
            <w:tcW w:w="1344" w:type="dxa"/>
          </w:tcPr>
          <w:p w:rsidR="000404E4" w:rsidRPr="000404E4" w:rsidRDefault="000404E4" w:rsidP="000404E4">
            <w:pPr>
              <w:pStyle w:val="ListParagraph"/>
              <w:ind w:left="0"/>
              <w:jc w:val="center"/>
              <w:rPr>
                <w:color w:val="538135" w:themeColor="accent6" w:themeShade="BF"/>
                <w:sz w:val="48"/>
                <w:szCs w:val="48"/>
              </w:rPr>
            </w:pPr>
            <w:r w:rsidRPr="000404E4">
              <w:rPr>
                <w:rFonts w:hint="cs"/>
                <w:color w:val="538135" w:themeColor="accent6" w:themeShade="BF"/>
                <w:sz w:val="48"/>
                <w:szCs w:val="48"/>
                <w:rtl/>
              </w:rPr>
              <w:t>١٢٧٦ ريال</w:t>
            </w:r>
          </w:p>
        </w:tc>
        <w:tc>
          <w:tcPr>
            <w:tcW w:w="932" w:type="dxa"/>
          </w:tcPr>
          <w:p w:rsidR="000404E4" w:rsidRPr="000404E4" w:rsidRDefault="000404E4" w:rsidP="000404E4">
            <w:pPr>
              <w:pStyle w:val="ListParagraph"/>
              <w:ind w:left="0"/>
              <w:jc w:val="center"/>
              <w:rPr>
                <w:color w:val="538135" w:themeColor="accent6" w:themeShade="BF"/>
                <w:sz w:val="48"/>
                <w:szCs w:val="48"/>
              </w:rPr>
            </w:pPr>
            <w:r w:rsidRPr="000404E4">
              <w:rPr>
                <w:rFonts w:hint="cs"/>
                <w:color w:val="538135" w:themeColor="accent6" w:themeShade="BF"/>
                <w:sz w:val="48"/>
                <w:szCs w:val="48"/>
                <w:rtl/>
              </w:rPr>
              <w:t>٩٩،٣٤ جرام</w:t>
            </w:r>
          </w:p>
        </w:tc>
        <w:tc>
          <w:tcPr>
            <w:tcW w:w="1561" w:type="dxa"/>
          </w:tcPr>
          <w:p w:rsidR="000404E4" w:rsidRPr="000404E4" w:rsidRDefault="000404E4" w:rsidP="000404E4">
            <w:pPr>
              <w:pStyle w:val="ListParagraph"/>
              <w:ind w:left="0"/>
              <w:jc w:val="center"/>
              <w:rPr>
                <w:color w:val="538135" w:themeColor="accent6" w:themeShade="BF"/>
                <w:sz w:val="48"/>
                <w:szCs w:val="48"/>
              </w:rPr>
            </w:pPr>
            <w:r w:rsidRPr="000404E4">
              <w:rPr>
                <w:rFonts w:hint="cs"/>
                <w:color w:val="538135" w:themeColor="accent6" w:themeShade="BF"/>
                <w:sz w:val="48"/>
                <w:szCs w:val="48"/>
                <w:rtl/>
              </w:rPr>
              <w:t>٢٩٨٢٥ ريال</w:t>
            </w:r>
          </w:p>
        </w:tc>
        <w:tc>
          <w:tcPr>
            <w:tcW w:w="1398" w:type="dxa"/>
          </w:tcPr>
          <w:p w:rsidR="000404E4" w:rsidRPr="000404E4" w:rsidRDefault="000404E4" w:rsidP="000404E4">
            <w:pPr>
              <w:pStyle w:val="ListParagraph"/>
              <w:ind w:left="0"/>
              <w:jc w:val="center"/>
              <w:rPr>
                <w:color w:val="538135" w:themeColor="accent6" w:themeShade="BF"/>
                <w:sz w:val="48"/>
                <w:szCs w:val="48"/>
              </w:rPr>
            </w:pPr>
            <w:r w:rsidRPr="000404E4">
              <w:rPr>
                <w:rFonts w:hint="cs"/>
                <w:color w:val="538135" w:themeColor="accent6" w:themeShade="BF"/>
                <w:sz w:val="48"/>
                <w:szCs w:val="48"/>
                <w:rtl/>
              </w:rPr>
              <w:t>١٧٥ ريال</w:t>
            </w:r>
          </w:p>
        </w:tc>
        <w:tc>
          <w:tcPr>
            <w:tcW w:w="1474" w:type="dxa"/>
          </w:tcPr>
          <w:p w:rsidR="000404E4" w:rsidRPr="000404E4" w:rsidRDefault="000404E4" w:rsidP="000404E4">
            <w:pPr>
              <w:pStyle w:val="ListParagraph"/>
              <w:ind w:left="0"/>
              <w:jc w:val="center"/>
              <w:rPr>
                <w:color w:val="538135" w:themeColor="accent6" w:themeShade="BF"/>
                <w:sz w:val="48"/>
                <w:szCs w:val="48"/>
              </w:rPr>
            </w:pPr>
            <w:r w:rsidRPr="000404E4">
              <w:rPr>
                <w:rFonts w:hint="cs"/>
                <w:color w:val="538135" w:themeColor="accent6" w:themeShade="BF"/>
                <w:sz w:val="48"/>
                <w:szCs w:val="48"/>
                <w:rtl/>
              </w:rPr>
              <w:t>٣٠٠٠٠ ريال</w:t>
            </w:r>
          </w:p>
        </w:tc>
      </w:tr>
    </w:tbl>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p>
    <w:p w:rsidR="00484A05" w:rsidRDefault="00484A05"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center"/>
        <w:rPr>
          <w:color w:val="2F5496" w:themeColor="accent1" w:themeShade="BF"/>
          <w:sz w:val="48"/>
          <w:szCs w:val="48"/>
          <w:rtl/>
        </w:rPr>
      </w:pPr>
      <w:r>
        <w:rPr>
          <w:rFonts w:hint="cs"/>
          <w:color w:val="2F5496" w:themeColor="accent1" w:themeShade="BF"/>
          <w:sz w:val="48"/>
          <w:szCs w:val="48"/>
          <w:rtl/>
        </w:rPr>
        <w:lastRenderedPageBreak/>
        <w:t xml:space="preserve">الجدول الثالث: </w:t>
      </w:r>
      <w:r w:rsidR="00484A05">
        <w:rPr>
          <w:rFonts w:hint="cs"/>
          <w:color w:val="2F5496" w:themeColor="accent1" w:themeShade="BF"/>
          <w:sz w:val="48"/>
          <w:szCs w:val="48"/>
          <w:rtl/>
        </w:rPr>
        <w:t>إجمالي</w:t>
      </w:r>
      <w:r>
        <w:rPr>
          <w:rFonts w:hint="cs"/>
          <w:color w:val="2F5496" w:themeColor="accent1" w:themeShade="BF"/>
          <w:sz w:val="48"/>
          <w:szCs w:val="48"/>
          <w:rtl/>
        </w:rPr>
        <w:t xml:space="preserve"> </w:t>
      </w:r>
      <w:r w:rsidR="00484A05">
        <w:rPr>
          <w:rFonts w:hint="cs"/>
          <w:color w:val="2F5496" w:themeColor="accent1" w:themeShade="BF"/>
          <w:sz w:val="48"/>
          <w:szCs w:val="48"/>
          <w:rtl/>
        </w:rPr>
        <w:t>مساهمات المساهمين في الصندوقين ومايقابلها من ذهب (بعد توزيع أرباح الفترة الماضية) والتي في ذمة المستثمر في بداية هذه السنة المالية الجديدة.</w:t>
      </w:r>
    </w:p>
    <w:tbl>
      <w:tblPr>
        <w:tblStyle w:val="TableGrid"/>
        <w:tblW w:w="0" w:type="auto"/>
        <w:tblInd w:w="1080" w:type="dxa"/>
        <w:tblLook w:val="04A0" w:firstRow="1" w:lastRow="0" w:firstColumn="1" w:lastColumn="0" w:noHBand="0" w:noVBand="1"/>
      </w:tblPr>
      <w:tblGrid>
        <w:gridCol w:w="4125"/>
        <w:gridCol w:w="4145"/>
      </w:tblGrid>
      <w:tr w:rsidR="000404E4" w:rsidTr="000404E4">
        <w:tc>
          <w:tcPr>
            <w:tcW w:w="4675" w:type="dxa"/>
          </w:tcPr>
          <w:p w:rsidR="000404E4" w:rsidRPr="000404E4" w:rsidRDefault="000404E4" w:rsidP="000404E4">
            <w:pPr>
              <w:pStyle w:val="ListParagraph"/>
              <w:ind w:left="0"/>
              <w:jc w:val="center"/>
              <w:rPr>
                <w:color w:val="000000" w:themeColor="text1"/>
                <w:sz w:val="48"/>
                <w:szCs w:val="48"/>
              </w:rPr>
            </w:pPr>
            <w:r w:rsidRPr="000404E4">
              <w:rPr>
                <w:rFonts w:hint="cs"/>
                <w:color w:val="000000" w:themeColor="text1"/>
                <w:sz w:val="48"/>
                <w:szCs w:val="48"/>
                <w:rtl/>
              </w:rPr>
              <w:t>يقابلها ذهب عيار ٢٤</w:t>
            </w:r>
          </w:p>
        </w:tc>
        <w:tc>
          <w:tcPr>
            <w:tcW w:w="4675" w:type="dxa"/>
          </w:tcPr>
          <w:p w:rsidR="000404E4" w:rsidRPr="000404E4" w:rsidRDefault="000404E4" w:rsidP="000404E4">
            <w:pPr>
              <w:pStyle w:val="ListParagraph"/>
              <w:ind w:left="0"/>
              <w:jc w:val="center"/>
              <w:rPr>
                <w:color w:val="000000" w:themeColor="text1"/>
                <w:sz w:val="48"/>
                <w:szCs w:val="48"/>
              </w:rPr>
            </w:pPr>
            <w:r w:rsidRPr="000404E4">
              <w:rPr>
                <w:rFonts w:hint="cs"/>
                <w:color w:val="000000" w:themeColor="text1"/>
                <w:sz w:val="48"/>
                <w:szCs w:val="48"/>
                <w:rtl/>
              </w:rPr>
              <w:t>قيمة رأس مال المساهمين</w:t>
            </w:r>
          </w:p>
        </w:tc>
      </w:tr>
      <w:tr w:rsidR="000404E4" w:rsidTr="000404E4">
        <w:tc>
          <w:tcPr>
            <w:tcW w:w="4675" w:type="dxa"/>
          </w:tcPr>
          <w:p w:rsidR="000404E4" w:rsidRPr="000404E4" w:rsidRDefault="000404E4" w:rsidP="000404E4">
            <w:pPr>
              <w:pStyle w:val="ListParagraph"/>
              <w:ind w:left="0"/>
              <w:jc w:val="center"/>
              <w:rPr>
                <w:color w:val="538135" w:themeColor="accent6" w:themeShade="BF"/>
                <w:sz w:val="48"/>
                <w:szCs w:val="48"/>
              </w:rPr>
            </w:pPr>
            <w:r w:rsidRPr="000404E4">
              <w:rPr>
                <w:rFonts w:hint="cs"/>
                <w:color w:val="538135" w:themeColor="accent6" w:themeShade="BF"/>
                <w:sz w:val="48"/>
                <w:szCs w:val="48"/>
                <w:rtl/>
              </w:rPr>
              <w:t>٤٣٨،٩٤ جرام</w:t>
            </w:r>
          </w:p>
        </w:tc>
        <w:tc>
          <w:tcPr>
            <w:tcW w:w="4675" w:type="dxa"/>
          </w:tcPr>
          <w:p w:rsidR="000404E4" w:rsidRPr="000404E4" w:rsidRDefault="000404E4" w:rsidP="000404E4">
            <w:pPr>
              <w:pStyle w:val="ListParagraph"/>
              <w:ind w:left="0"/>
              <w:jc w:val="center"/>
              <w:rPr>
                <w:color w:val="538135" w:themeColor="accent6" w:themeShade="BF"/>
                <w:sz w:val="48"/>
                <w:szCs w:val="48"/>
              </w:rPr>
            </w:pPr>
            <w:r w:rsidRPr="000404E4">
              <w:rPr>
                <w:rFonts w:hint="cs"/>
                <w:color w:val="538135" w:themeColor="accent6" w:themeShade="BF"/>
                <w:sz w:val="48"/>
                <w:szCs w:val="48"/>
                <w:rtl/>
              </w:rPr>
              <w:t>١١٣٥٠٠ ريال</w:t>
            </w:r>
          </w:p>
        </w:tc>
      </w:tr>
    </w:tbl>
    <w:p w:rsidR="000404E4" w:rsidRDefault="000404E4" w:rsidP="000404E4">
      <w:pPr>
        <w:pStyle w:val="ListParagraph"/>
        <w:ind w:left="1080"/>
        <w:jc w:val="center"/>
        <w:rPr>
          <w:color w:val="2F5496" w:themeColor="accent1" w:themeShade="BF"/>
          <w:sz w:val="48"/>
          <w:szCs w:val="48"/>
          <w:rtl/>
        </w:rPr>
      </w:pPr>
    </w:p>
    <w:p w:rsidR="000404E4" w:rsidRDefault="000404E4" w:rsidP="000404E4">
      <w:pPr>
        <w:pStyle w:val="ListParagraph"/>
        <w:ind w:left="1080"/>
        <w:jc w:val="right"/>
        <w:rPr>
          <w:color w:val="000000" w:themeColor="text1"/>
          <w:sz w:val="48"/>
          <w:szCs w:val="48"/>
          <w:rtl/>
        </w:rPr>
      </w:pPr>
      <w:r w:rsidRPr="000404E4">
        <w:rPr>
          <w:rFonts w:hint="cs"/>
          <w:color w:val="000000" w:themeColor="text1"/>
          <w:sz w:val="48"/>
          <w:szCs w:val="48"/>
          <w:rtl/>
        </w:rPr>
        <w:t xml:space="preserve">ملاحظة: </w:t>
      </w:r>
      <w:r w:rsidR="00484A05">
        <w:rPr>
          <w:rFonts w:hint="cs"/>
          <w:color w:val="000000" w:themeColor="text1"/>
          <w:sz w:val="48"/>
          <w:szCs w:val="48"/>
          <w:rtl/>
        </w:rPr>
        <w:t>الاستثمار الذي اختارته لجنة استثمار الجمعية كما سبق وأن أعلن هو استثمار في ذهب</w:t>
      </w:r>
      <w:r w:rsidR="00E3042F">
        <w:rPr>
          <w:rFonts w:hint="cs"/>
          <w:color w:val="000000" w:themeColor="text1"/>
          <w:sz w:val="48"/>
          <w:szCs w:val="48"/>
          <w:rtl/>
        </w:rPr>
        <w:t xml:space="preserve"> للصندوقين</w:t>
      </w:r>
      <w:r w:rsidR="00484A05">
        <w:rPr>
          <w:rFonts w:hint="cs"/>
          <w:color w:val="000000" w:themeColor="text1"/>
          <w:sz w:val="48"/>
          <w:szCs w:val="48"/>
          <w:rtl/>
        </w:rPr>
        <w:t>، وتم اختيار المس</w:t>
      </w:r>
      <w:r w:rsidR="00E3042F">
        <w:rPr>
          <w:rFonts w:hint="cs"/>
          <w:color w:val="000000" w:themeColor="text1"/>
          <w:sz w:val="48"/>
          <w:szCs w:val="48"/>
          <w:rtl/>
        </w:rPr>
        <w:t xml:space="preserve">تثمر وهو السيد محمد بن السيد حسن العلي النمر لتشغيل هذا الاستثمار، والذهب في هذا الجدول الثالث هو مافي ذمته المالية للمساهمين بعد توزيع أرباح الفترة الماضية في بداية هذه السنة المالية الثانية (الجديدة). </w:t>
      </w:r>
    </w:p>
    <w:p w:rsidR="00E3042F" w:rsidRPr="000404E4" w:rsidRDefault="00E3042F" w:rsidP="000404E4">
      <w:pPr>
        <w:pStyle w:val="ListParagraph"/>
        <w:ind w:left="1080"/>
        <w:jc w:val="right"/>
        <w:rPr>
          <w:color w:val="000000" w:themeColor="text1"/>
          <w:sz w:val="48"/>
          <w:szCs w:val="48"/>
        </w:rPr>
      </w:pPr>
      <w:r>
        <w:rPr>
          <w:rFonts w:hint="cs"/>
          <w:color w:val="000000" w:themeColor="text1"/>
          <w:sz w:val="48"/>
          <w:szCs w:val="48"/>
          <w:rtl/>
        </w:rPr>
        <w:t>علما أن الذهب المذكور في الجدول الثالث يتقاسمه الصندوقين كل واحد حسب المذكور في الجدولين الأول والثاني لأن أوقات تسكير الذهب للصندوقين مختلفة.</w:t>
      </w:r>
    </w:p>
    <w:sectPr w:rsidR="00E3042F" w:rsidRPr="00040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9413BD"/>
    <w:multiLevelType w:val="hybridMultilevel"/>
    <w:tmpl w:val="53E254BA"/>
    <w:lvl w:ilvl="0" w:tplc="861A158E">
      <w:start w:val="1"/>
      <w:numFmt w:val="decimalFullWidt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383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E4"/>
    <w:rsid w:val="000404E4"/>
    <w:rsid w:val="002419B6"/>
    <w:rsid w:val="003B5451"/>
    <w:rsid w:val="00484A05"/>
    <w:rsid w:val="00592F9A"/>
    <w:rsid w:val="006610E3"/>
    <w:rsid w:val="00A047BA"/>
    <w:rsid w:val="00A41667"/>
    <w:rsid w:val="00E3042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5B8EC85"/>
  <w15:chartTrackingRefBased/>
  <w15:docId w15:val="{09E5E4BC-CFB3-9040-A6B0-E08C2A02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4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4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4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4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4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04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04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04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4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4E4"/>
    <w:rPr>
      <w:rFonts w:eastAsiaTheme="majorEastAsia" w:cstheme="majorBidi"/>
      <w:color w:val="272727" w:themeColor="text1" w:themeTint="D8"/>
    </w:rPr>
  </w:style>
  <w:style w:type="paragraph" w:styleId="Title">
    <w:name w:val="Title"/>
    <w:basedOn w:val="Normal"/>
    <w:next w:val="Normal"/>
    <w:link w:val="TitleChar"/>
    <w:uiPriority w:val="10"/>
    <w:qFormat/>
    <w:rsid w:val="00040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04E4"/>
    <w:rPr>
      <w:i/>
      <w:iCs/>
      <w:color w:val="404040" w:themeColor="text1" w:themeTint="BF"/>
    </w:rPr>
  </w:style>
  <w:style w:type="paragraph" w:styleId="ListParagraph">
    <w:name w:val="List Paragraph"/>
    <w:basedOn w:val="Normal"/>
    <w:uiPriority w:val="34"/>
    <w:qFormat/>
    <w:rsid w:val="000404E4"/>
    <w:pPr>
      <w:ind w:left="720"/>
      <w:contextualSpacing/>
    </w:pPr>
  </w:style>
  <w:style w:type="character" w:styleId="IntenseEmphasis">
    <w:name w:val="Intense Emphasis"/>
    <w:basedOn w:val="DefaultParagraphFont"/>
    <w:uiPriority w:val="21"/>
    <w:qFormat/>
    <w:rsid w:val="000404E4"/>
    <w:rPr>
      <w:i/>
      <w:iCs/>
      <w:color w:val="2F5496" w:themeColor="accent1" w:themeShade="BF"/>
    </w:rPr>
  </w:style>
  <w:style w:type="paragraph" w:styleId="IntenseQuote">
    <w:name w:val="Intense Quote"/>
    <w:basedOn w:val="Normal"/>
    <w:next w:val="Normal"/>
    <w:link w:val="IntenseQuoteChar"/>
    <w:uiPriority w:val="30"/>
    <w:qFormat/>
    <w:rsid w:val="00040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4E4"/>
    <w:rPr>
      <w:i/>
      <w:iCs/>
      <w:color w:val="2F5496" w:themeColor="accent1" w:themeShade="BF"/>
    </w:rPr>
  </w:style>
  <w:style w:type="character" w:styleId="IntenseReference">
    <w:name w:val="Intense Reference"/>
    <w:basedOn w:val="DefaultParagraphFont"/>
    <w:uiPriority w:val="32"/>
    <w:qFormat/>
    <w:rsid w:val="000404E4"/>
    <w:rPr>
      <w:b/>
      <w:bCs/>
      <w:smallCaps/>
      <w:color w:val="2F5496" w:themeColor="accent1" w:themeShade="BF"/>
      <w:spacing w:val="5"/>
    </w:rPr>
  </w:style>
  <w:style w:type="table" w:styleId="TableGrid">
    <w:name w:val="Table Grid"/>
    <w:basedOn w:val="TableNormal"/>
    <w:uiPriority w:val="39"/>
    <w:rsid w:val="00040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Alnemer</dc:creator>
  <cp:keywords/>
  <dc:description/>
  <cp:lastModifiedBy>Hussain Alnemer</cp:lastModifiedBy>
  <cp:revision>3</cp:revision>
  <dcterms:created xsi:type="dcterms:W3CDTF">2025-03-15T20:30:00Z</dcterms:created>
  <dcterms:modified xsi:type="dcterms:W3CDTF">2025-03-21T14:54:00Z</dcterms:modified>
</cp:coreProperties>
</file>