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C03681">
              <w:rPr>
                <w:rFonts w:ascii="Tahoma" w:hAnsi="Tahoma" w:cs="Tahoma"/>
                <w:sz w:val="20"/>
              </w:rPr>
              <w:t>Wal Mart</w:t>
            </w:r>
          </w:p>
        </w:tc>
      </w:tr>
      <w:tr w:rsidR="00644ADD" w14:paraId="28E5DAC9"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77777777"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150592">
              <w:rPr>
                <w:rFonts w:ascii="Tahoma" w:hAnsi="Tahoma" w:cs="Tahoma"/>
                <w:sz w:val="20"/>
              </w:rPr>
              <w:t xml:space="preserve">41870 Thrive </w:t>
            </w:r>
            <w:proofErr w:type="gramStart"/>
            <w:r w:rsidR="00150592">
              <w:rPr>
                <w:rFonts w:ascii="Tahoma" w:hAnsi="Tahoma" w:cs="Tahoma"/>
                <w:sz w:val="20"/>
              </w:rPr>
              <w:t>Drive ,</w:t>
            </w:r>
            <w:proofErr w:type="gramEnd"/>
            <w:r w:rsidR="00150592">
              <w:rPr>
                <w:rFonts w:ascii="Tahoma" w:hAnsi="Tahoma" w:cs="Tahoma"/>
                <w:sz w:val="20"/>
              </w:rPr>
              <w:t xml:space="preserve"> Suite 140 </w:t>
            </w:r>
          </w:p>
        </w:tc>
      </w:tr>
      <w:tr w:rsidR="00644ADD" w14:paraId="49E82670"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77777777"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proofErr w:type="gramStart"/>
            <w:r w:rsidR="00150592">
              <w:rPr>
                <w:rFonts w:ascii="Tahoma" w:hAnsi="Tahoma" w:cs="Tahoma"/>
                <w:sz w:val="20"/>
              </w:rPr>
              <w:t>R</w:t>
            </w:r>
            <w:r w:rsidR="00D24CB8">
              <w:rPr>
                <w:rFonts w:ascii="Tahoma" w:hAnsi="Tahoma" w:cs="Tahoma"/>
                <w:sz w:val="20"/>
              </w:rPr>
              <w:t>o</w:t>
            </w:r>
            <w:r w:rsidR="00150592">
              <w:rPr>
                <w:rFonts w:ascii="Tahoma" w:hAnsi="Tahoma" w:cs="Tahoma"/>
                <w:sz w:val="20"/>
              </w:rPr>
              <w:t>seville</w:t>
            </w:r>
            <w:r w:rsidR="00D24CB8">
              <w:rPr>
                <w:rFonts w:ascii="Tahoma" w:hAnsi="Tahoma" w:cs="Tahoma"/>
                <w:sz w:val="20"/>
              </w:rPr>
              <w:t xml:space="preserve"> ,</w:t>
            </w:r>
            <w:proofErr w:type="gramEnd"/>
            <w:r w:rsidR="00D24CB8">
              <w:rPr>
                <w:rFonts w:ascii="Tahoma" w:hAnsi="Tahoma" w:cs="Tahoma"/>
                <w:sz w:val="20"/>
              </w:rPr>
              <w:t xml:space="preserve"> CA</w:t>
            </w:r>
            <w:r w:rsidR="00150592">
              <w:rPr>
                <w:rFonts w:ascii="Tahoma" w:hAnsi="Tahoma" w:cs="Tahoma"/>
                <w:sz w:val="20"/>
              </w:rPr>
              <w:t xml:space="preserve"> 95678</w:t>
            </w:r>
          </w:p>
        </w:tc>
      </w:tr>
      <w:tr w:rsidR="00644ADD" w14:paraId="1F7E65A4" w14:textId="77777777">
        <w:tblPrEx>
          <w:tblCellMar>
            <w:top w:w="0" w:type="dxa"/>
            <w:bottom w:w="0" w:type="dxa"/>
          </w:tblCellMar>
        </w:tblPrEx>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77777777"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0D7B17" w:rsidRPr="0035444E">
              <w:rPr>
                <w:rFonts w:ascii="Tahoma" w:hAnsi="Tahoma" w:cs="Tahoma"/>
                <w:sz w:val="20"/>
              </w:rPr>
              <w:t xml:space="preserve">    </w:t>
            </w:r>
          </w:p>
        </w:tc>
      </w:tr>
      <w:tr w:rsidR="00644ADD" w14:paraId="5EC37173" w14:textId="77777777">
        <w:tblPrEx>
          <w:tblCellMar>
            <w:top w:w="0" w:type="dxa"/>
            <w:bottom w:w="0" w:type="dxa"/>
          </w:tblCellMar>
        </w:tblPrEx>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77777777"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0D7B17" w:rsidRPr="0035444E">
              <w:rPr>
                <w:rFonts w:ascii="Tahoma" w:hAnsi="Tahoma" w:cs="Tahoma"/>
                <w:sz w:val="20"/>
              </w:rPr>
              <w:t xml:space="preserve">    </w:t>
            </w:r>
            <w:r w:rsidR="00FE65EA" w:rsidRPr="0035444E">
              <w:rPr>
                <w:rFonts w:ascii="Tahoma" w:hAnsi="Tahoma" w:cs="Tahoma"/>
                <w:sz w:val="20"/>
              </w:rPr>
              <w:t xml:space="preserve"> </w:t>
            </w:r>
            <w:r w:rsidR="00BD3236" w:rsidRPr="0035444E">
              <w:rPr>
                <w:rFonts w:ascii="Tahoma" w:hAnsi="Tahoma" w:cs="Tahoma"/>
                <w:sz w:val="20"/>
              </w:rPr>
              <w:t xml:space="preserve"> </w:t>
            </w:r>
            <w:r w:rsidR="00263263" w:rsidRPr="0035444E">
              <w:rPr>
                <w:rFonts w:ascii="Tahoma" w:hAnsi="Tahoma" w:cs="Tahoma"/>
                <w:sz w:val="20"/>
              </w:rPr>
              <w:t xml:space="preserve">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blPrEx>
                                <w:tblCellMar>
                                  <w:top w:w="0" w:type="dxa"/>
                                  <w:bottom w:w="0" w:type="dxa"/>
                                </w:tblCellMar>
                              </w:tblPrEx>
                              <w:trPr>
                                <w:trHeight w:val="353"/>
                              </w:trPr>
                              <w:tc>
                                <w:tcPr>
                                  <w:tcW w:w="2700" w:type="dxa"/>
                                  <w:tcBorders>
                                    <w:top w:val="single" w:sz="4" w:space="0" w:color="auto"/>
                                    <w:left w:val="single" w:sz="4" w:space="0" w:color="auto"/>
                                    <w:bottom w:val="dotted" w:sz="4" w:space="0" w:color="auto"/>
                                    <w:right w:val="nil"/>
                                  </w:tcBorders>
                                </w:tcPr>
                                <w:p w14:paraId="392CC217" w14:textId="77777777"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D24CB8">
                                    <w:rPr>
                                      <w:rFonts w:ascii="Tahoma" w:hAnsi="Tahoma" w:cs="Tahoma"/>
                                      <w:sz w:val="20"/>
                                    </w:rPr>
                                    <w:t>1/7/24</w:t>
                                  </w:r>
                                </w:p>
                              </w:tc>
                              <w:tc>
                                <w:tcPr>
                                  <w:tcW w:w="2790" w:type="dxa"/>
                                  <w:tcBorders>
                                    <w:top w:val="single" w:sz="4" w:space="0" w:color="auto"/>
                                    <w:left w:val="dotted" w:sz="4" w:space="0" w:color="auto"/>
                                    <w:bottom w:val="dotted" w:sz="4" w:space="0" w:color="auto"/>
                                    <w:right w:val="single" w:sz="4" w:space="0" w:color="auto"/>
                                  </w:tcBorders>
                                </w:tcPr>
                                <w:p w14:paraId="051EBE7B" w14:textId="77777777"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577F75" w:rsidRPr="00577F75">
                                    <w:rPr>
                                      <w:rFonts w:ascii="Arial" w:hAnsi="Arial" w:cs="Arial"/>
                                      <w:color w:val="000000"/>
                                      <w:sz w:val="20"/>
                                    </w:rPr>
                                    <w:t>Andrew Bergst</w:t>
                                  </w:r>
                                </w:p>
                              </w:tc>
                            </w:tr>
                            <w:tr w:rsidR="001E2BDB" w:rsidRPr="00FC0BDB" w14:paraId="5A1FE5B1" w14:textId="77777777">
                              <w:tblPrEx>
                                <w:tblCellMar>
                                  <w:top w:w="0" w:type="dxa"/>
                                  <w:bottom w:w="0" w:type="dxa"/>
                                </w:tblCellMar>
                              </w:tblPrEx>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blPrEx>
                                <w:tblCellMar>
                                  <w:top w:w="0" w:type="dxa"/>
                                  <w:bottom w:w="0" w:type="dxa"/>
                                </w:tblCellMar>
                              </w:tblPrEx>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77777777" w:rsidR="00C549D8" w:rsidRPr="0035444E" w:rsidRDefault="00577F75">
                                  <w:pPr>
                                    <w:spacing w:before="120" w:after="120"/>
                                    <w:rPr>
                                      <w:rFonts w:ascii="Tahoma" w:hAnsi="Tahoma" w:cs="Tahoma"/>
                                      <w:sz w:val="20"/>
                                    </w:rPr>
                                  </w:pPr>
                                  <w:r>
                                    <w:rPr>
                                      <w:rFonts w:ascii="Tahoma" w:hAnsi="Tahoma" w:cs="Tahoma"/>
                                      <w:sz w:val="20"/>
                                    </w:rPr>
                                    <w:t>Wells Construction</w:t>
                                  </w:r>
                                  <w:r w:rsidR="00150592">
                                    <w:rPr>
                                      <w:rFonts w:ascii="Tahoma" w:hAnsi="Tahoma" w:cs="Tahoma"/>
                                      <w:sz w:val="20"/>
                                    </w:rPr>
                                    <w:t xml:space="preserve"> </w:t>
                                  </w:r>
                                </w:p>
                              </w:tc>
                            </w:tr>
                            <w:tr w:rsidR="001E2BDB" w:rsidRPr="00FC0BDB" w14:paraId="2C514A94"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777DB337" w14:textId="77777777" w:rsidR="00D65FFB" w:rsidRPr="0035444E" w:rsidRDefault="00577F75" w:rsidP="00D65FFB">
                                  <w:pPr>
                                    <w:spacing w:before="120" w:after="120"/>
                                    <w:rPr>
                                      <w:rFonts w:ascii="Tahoma" w:hAnsi="Tahoma" w:cs="Tahoma"/>
                                      <w:sz w:val="20"/>
                                    </w:rPr>
                                  </w:pPr>
                                  <w:r w:rsidRPr="00577F75">
                                    <w:rPr>
                                      <w:rFonts w:ascii="Tahoma" w:hAnsi="Tahoma" w:cs="Tahoma"/>
                                      <w:b/>
                                      <w:bCs/>
                                      <w:i/>
                                      <w:iCs/>
                                      <w:sz w:val="20"/>
                                      <w:u w:val="single"/>
                                    </w:rPr>
                                    <w:t>abergst@wellsconstruction.com</w:t>
                                  </w:r>
                                </w:p>
                              </w:tc>
                            </w:tr>
                            <w:tr w:rsidR="001E2BDB" w:rsidRPr="00FC0BDB" w14:paraId="2E9939C7"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blPrEx>
                                <w:tblCellMar>
                                  <w:top w:w="0" w:type="dxa"/>
                                  <w:bottom w:w="0" w:type="dxa"/>
                                </w:tblCellMar>
                              </w:tblPrEx>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blPrEx>
                                <w:tblCellMar>
                                  <w:top w:w="0" w:type="dxa"/>
                                  <w:bottom w:w="0" w:type="dxa"/>
                                </w:tblCellMar>
                              </w:tblPrEx>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blPrEx>
                          <w:tblCellMar>
                            <w:top w:w="0" w:type="dxa"/>
                            <w:bottom w:w="0" w:type="dxa"/>
                          </w:tblCellMar>
                        </w:tblPrEx>
                        <w:trPr>
                          <w:trHeight w:val="353"/>
                        </w:trPr>
                        <w:tc>
                          <w:tcPr>
                            <w:tcW w:w="2700" w:type="dxa"/>
                            <w:tcBorders>
                              <w:top w:val="single" w:sz="4" w:space="0" w:color="auto"/>
                              <w:left w:val="single" w:sz="4" w:space="0" w:color="auto"/>
                              <w:bottom w:val="dotted" w:sz="4" w:space="0" w:color="auto"/>
                              <w:right w:val="nil"/>
                            </w:tcBorders>
                          </w:tcPr>
                          <w:p w14:paraId="392CC217" w14:textId="77777777"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D24CB8">
                              <w:rPr>
                                <w:rFonts w:ascii="Tahoma" w:hAnsi="Tahoma" w:cs="Tahoma"/>
                                <w:sz w:val="20"/>
                              </w:rPr>
                              <w:t>1/7/24</w:t>
                            </w:r>
                          </w:p>
                        </w:tc>
                        <w:tc>
                          <w:tcPr>
                            <w:tcW w:w="2790" w:type="dxa"/>
                            <w:tcBorders>
                              <w:top w:val="single" w:sz="4" w:space="0" w:color="auto"/>
                              <w:left w:val="dotted" w:sz="4" w:space="0" w:color="auto"/>
                              <w:bottom w:val="dotted" w:sz="4" w:space="0" w:color="auto"/>
                              <w:right w:val="single" w:sz="4" w:space="0" w:color="auto"/>
                            </w:tcBorders>
                          </w:tcPr>
                          <w:p w14:paraId="051EBE7B" w14:textId="77777777"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577F75" w:rsidRPr="00577F75">
                              <w:rPr>
                                <w:rFonts w:ascii="Arial" w:hAnsi="Arial" w:cs="Arial"/>
                                <w:color w:val="000000"/>
                                <w:sz w:val="20"/>
                              </w:rPr>
                              <w:t>Andrew Bergst</w:t>
                            </w:r>
                          </w:p>
                        </w:tc>
                      </w:tr>
                      <w:tr w:rsidR="001E2BDB" w:rsidRPr="00FC0BDB" w14:paraId="5A1FE5B1" w14:textId="77777777">
                        <w:tblPrEx>
                          <w:tblCellMar>
                            <w:top w:w="0" w:type="dxa"/>
                            <w:bottom w:w="0" w:type="dxa"/>
                          </w:tblCellMar>
                        </w:tblPrEx>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blPrEx>
                          <w:tblCellMar>
                            <w:top w:w="0" w:type="dxa"/>
                            <w:bottom w:w="0" w:type="dxa"/>
                          </w:tblCellMar>
                        </w:tblPrEx>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77777777" w:rsidR="00C549D8" w:rsidRPr="0035444E" w:rsidRDefault="00577F75">
                            <w:pPr>
                              <w:spacing w:before="120" w:after="120"/>
                              <w:rPr>
                                <w:rFonts w:ascii="Tahoma" w:hAnsi="Tahoma" w:cs="Tahoma"/>
                                <w:sz w:val="20"/>
                              </w:rPr>
                            </w:pPr>
                            <w:r>
                              <w:rPr>
                                <w:rFonts w:ascii="Tahoma" w:hAnsi="Tahoma" w:cs="Tahoma"/>
                                <w:sz w:val="20"/>
                              </w:rPr>
                              <w:t>Wells Construction</w:t>
                            </w:r>
                            <w:r w:rsidR="00150592">
                              <w:rPr>
                                <w:rFonts w:ascii="Tahoma" w:hAnsi="Tahoma" w:cs="Tahoma"/>
                                <w:sz w:val="20"/>
                              </w:rPr>
                              <w:t xml:space="preserve"> </w:t>
                            </w:r>
                          </w:p>
                        </w:tc>
                      </w:tr>
                      <w:tr w:rsidR="001E2BDB" w:rsidRPr="00FC0BDB" w14:paraId="2C514A94"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777DB337" w14:textId="77777777" w:rsidR="00D65FFB" w:rsidRPr="0035444E" w:rsidRDefault="00577F75" w:rsidP="00D65FFB">
                            <w:pPr>
                              <w:spacing w:before="120" w:after="120"/>
                              <w:rPr>
                                <w:rFonts w:ascii="Tahoma" w:hAnsi="Tahoma" w:cs="Tahoma"/>
                                <w:sz w:val="20"/>
                              </w:rPr>
                            </w:pPr>
                            <w:r w:rsidRPr="00577F75">
                              <w:rPr>
                                <w:rFonts w:ascii="Tahoma" w:hAnsi="Tahoma" w:cs="Tahoma"/>
                                <w:b/>
                                <w:bCs/>
                                <w:i/>
                                <w:iCs/>
                                <w:sz w:val="20"/>
                                <w:u w:val="single"/>
                              </w:rPr>
                              <w:t>abergst@wellsconstruction.com</w:t>
                            </w:r>
                          </w:p>
                        </w:tc>
                      </w:tr>
                      <w:tr w:rsidR="001E2BDB" w:rsidRPr="00FC0BDB" w14:paraId="2E9939C7"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blPrEx>
                          <w:tblCellMar>
                            <w:top w:w="0" w:type="dxa"/>
                            <w:bottom w:w="0" w:type="dxa"/>
                          </w:tblCellMar>
                        </w:tblPrEx>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blPrEx>
                          <w:tblCellMar>
                            <w:top w:w="0" w:type="dxa"/>
                            <w:bottom w:w="0" w:type="dxa"/>
                          </w:tblCellMar>
                        </w:tblPrEx>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blPrEx>
          <w:tblCellMar>
            <w:top w:w="0" w:type="dxa"/>
            <w:bottom w:w="0" w:type="dxa"/>
          </w:tblCellMar>
        </w:tblPrEx>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w:t>
            </w:r>
            <w:proofErr w:type="gramStart"/>
            <w:r w:rsidR="00F22786">
              <w:rPr>
                <w:bCs/>
                <w:sz w:val="24"/>
                <w:szCs w:val="24"/>
              </w:rPr>
              <w:t>( if</w:t>
            </w:r>
            <w:proofErr w:type="gramEnd"/>
            <w:r w:rsidR="00F22786">
              <w:rPr>
                <w:bCs/>
                <w:sz w:val="24"/>
                <w:szCs w:val="24"/>
              </w:rPr>
              <w:t xml:space="preserve">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w:t>
            </w:r>
            <w:proofErr w:type="gramStart"/>
            <w:r>
              <w:rPr>
                <w:bCs/>
                <w:sz w:val="24"/>
                <w:szCs w:val="24"/>
              </w:rPr>
              <w:t>( if</w:t>
            </w:r>
            <w:proofErr w:type="gramEnd"/>
            <w:r>
              <w:rPr>
                <w:bCs/>
                <w:sz w:val="24"/>
                <w:szCs w:val="24"/>
              </w:rPr>
              <w:t xml:space="preserve">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w:t>
            </w:r>
            <w:proofErr w:type="gramStart"/>
            <w:r w:rsidR="00F22786">
              <w:rPr>
                <w:bCs/>
                <w:sz w:val="24"/>
                <w:szCs w:val="24"/>
              </w:rPr>
              <w:t>( 6</w:t>
            </w:r>
            <w:proofErr w:type="gramEnd"/>
            <w:r w:rsidR="00F22786">
              <w:rPr>
                <w:bCs/>
                <w:sz w:val="24"/>
                <w:szCs w:val="24"/>
              </w:rPr>
              <w:t xml:space="preserve">”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 xml:space="preserve">plan page </w:t>
            </w:r>
            <w:proofErr w:type="gramStart"/>
            <w:r w:rsidRPr="00F94DCA">
              <w:rPr>
                <w:bCs/>
                <w:sz w:val="24"/>
                <w:szCs w:val="24"/>
              </w:rPr>
              <w:t>M</w:t>
            </w:r>
            <w:r>
              <w:rPr>
                <w:bCs/>
                <w:sz w:val="24"/>
                <w:szCs w:val="24"/>
              </w:rPr>
              <w:t>2.1</w:t>
            </w:r>
            <w:r w:rsidRPr="00F94DCA">
              <w:rPr>
                <w:bCs/>
                <w:sz w:val="24"/>
                <w:szCs w:val="24"/>
              </w:rPr>
              <w:t xml:space="preserve"> </w:t>
            </w:r>
            <w:r>
              <w:rPr>
                <w:bCs/>
                <w:sz w:val="24"/>
                <w:szCs w:val="24"/>
              </w:rPr>
              <w:t>,</w:t>
            </w:r>
            <w:proofErr w:type="gramEnd"/>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 xml:space="preserve">construction of new mechanical </w:t>
            </w:r>
            <w:proofErr w:type="gramStart"/>
            <w:r w:rsidR="004C0135">
              <w:rPr>
                <w:sz w:val="24"/>
                <w:szCs w:val="24"/>
              </w:rPr>
              <w:t>curb</w:t>
            </w:r>
            <w:r w:rsidR="00150592">
              <w:rPr>
                <w:sz w:val="24"/>
                <w:szCs w:val="24"/>
              </w:rPr>
              <w:t>s</w:t>
            </w:r>
            <w:r w:rsidR="004C0135">
              <w:rPr>
                <w:sz w:val="24"/>
                <w:szCs w:val="24"/>
              </w:rPr>
              <w:t xml:space="preserve"> ,</w:t>
            </w:r>
            <w:proofErr w:type="gramEnd"/>
            <w:r w:rsidR="004C0135">
              <w:rPr>
                <w:sz w:val="24"/>
                <w:szCs w:val="24"/>
              </w:rPr>
              <w:t xml:space="preserve">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40445BE" w14:textId="77777777" w:rsidR="00644ADD" w:rsidRPr="007701C9" w:rsidRDefault="00644ADD" w:rsidP="000F186F">
            <w:pPr>
              <w:rPr>
                <w:rFonts w:ascii="Arial" w:hAnsi="Arial" w:cs="Arial"/>
                <w:color w:val="0000FF"/>
                <w:sz w:val="16"/>
                <w:szCs w:val="16"/>
              </w:rPr>
            </w:pPr>
          </w:p>
        </w:tc>
      </w:tr>
      <w:tr w:rsidR="00B755BE" w:rsidRPr="007A4BB9" w14:paraId="1E962B46" w14:textId="77777777" w:rsidTr="00D13C88">
        <w:tblPrEx>
          <w:tblCellMar>
            <w:top w:w="0" w:type="dxa"/>
            <w:bottom w:w="0" w:type="dxa"/>
          </w:tblCellMar>
        </w:tblPrEx>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blPrEx>
          <w:tblCellMar>
            <w:top w:w="0" w:type="dxa"/>
            <w:bottom w:w="0" w:type="dxa"/>
          </w:tblCellMar>
        </w:tblPrEx>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77777777" w:rsidR="00D65FFB" w:rsidRDefault="00644ADD">
            <w:pPr>
              <w:jc w:val="both"/>
              <w:rPr>
                <w:rFonts w:ascii="Tahoma" w:hAnsi="Tahoma" w:cs="Tahoma"/>
                <w:b/>
                <w:sz w:val="20"/>
              </w:rPr>
            </w:pPr>
            <w:r w:rsidRPr="0035444E">
              <w:rPr>
                <w:rFonts w:ascii="Tahoma" w:hAnsi="Tahoma" w:cs="Tahoma"/>
                <w:sz w:val="16"/>
              </w:rPr>
              <w:t xml:space="preserve">sum </w:t>
            </w:r>
            <w:r w:rsidRPr="0035444E">
              <w:rPr>
                <w:rFonts w:ascii="Tahoma" w:hAnsi="Tahoma" w:cs="Tahoma"/>
                <w:sz w:val="16"/>
                <w:szCs w:val="16"/>
              </w:rPr>
              <w:t>of</w:t>
            </w:r>
            <w:r w:rsidRPr="0035444E">
              <w:rPr>
                <w:rFonts w:ascii="Tahoma" w:hAnsi="Tahoma" w:cs="Tahoma"/>
                <w:sz w:val="20"/>
              </w:rPr>
              <w:t xml:space="preserve"> </w:t>
            </w:r>
            <w:r w:rsidR="001B696D">
              <w:rPr>
                <w:rFonts w:ascii="Tahoma" w:hAnsi="Tahoma" w:cs="Tahoma"/>
                <w:sz w:val="20"/>
              </w:rPr>
              <w:t xml:space="preserve">    </w:t>
            </w:r>
            <w:r w:rsidR="000F186F">
              <w:rPr>
                <w:rFonts w:ascii="Tahoma" w:hAnsi="Tahoma" w:cs="Tahoma"/>
                <w:sz w:val="20"/>
              </w:rPr>
              <w:t xml:space="preserve">$6,750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lastRenderedPageBreak/>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77777777"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77777777"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Date: __</w:t>
            </w:r>
            <w:r w:rsidR="00FA5443" w:rsidRPr="0035444E">
              <w:rPr>
                <w:rFonts w:ascii="Tahoma" w:hAnsi="Tahoma" w:cs="Tahoma"/>
                <w:sz w:val="18"/>
                <w:szCs w:val="18"/>
                <w:u w:val="single"/>
              </w:rPr>
              <w:t>________</w:t>
            </w:r>
            <w:r w:rsidR="00D24CB8">
              <w:rPr>
                <w:rFonts w:ascii="Tahoma" w:hAnsi="Tahoma" w:cs="Tahoma"/>
                <w:sz w:val="18"/>
                <w:szCs w:val="18"/>
                <w:u w:val="single"/>
              </w:rPr>
              <w:t>1</w:t>
            </w:r>
            <w:r w:rsidR="003153C4">
              <w:rPr>
                <w:rFonts w:ascii="Tahoma" w:hAnsi="Tahoma" w:cs="Tahoma"/>
                <w:sz w:val="18"/>
                <w:szCs w:val="18"/>
                <w:u w:val="single"/>
              </w:rPr>
              <w:t>/</w:t>
            </w:r>
            <w:r w:rsidR="00D24CB8">
              <w:rPr>
                <w:rFonts w:ascii="Tahoma" w:hAnsi="Tahoma" w:cs="Tahoma"/>
                <w:sz w:val="18"/>
                <w:szCs w:val="18"/>
                <w:u w:val="single"/>
              </w:rPr>
              <w:t>7</w:t>
            </w:r>
            <w:r w:rsidR="003153C4">
              <w:rPr>
                <w:rFonts w:ascii="Tahoma" w:hAnsi="Tahoma" w:cs="Tahoma"/>
                <w:sz w:val="18"/>
                <w:szCs w:val="18"/>
                <w:u w:val="single"/>
              </w:rPr>
              <w:t>/2</w:t>
            </w:r>
            <w:r w:rsidR="00D24CB8">
              <w:rPr>
                <w:rFonts w:ascii="Tahoma" w:hAnsi="Tahoma" w:cs="Tahoma"/>
                <w:sz w:val="18"/>
                <w:szCs w:val="18"/>
                <w:u w:val="single"/>
              </w:rPr>
              <w:t>5</w:t>
            </w:r>
            <w:r w:rsidR="00FA5443" w:rsidRPr="0035444E">
              <w:rPr>
                <w:rFonts w:ascii="Tahoma" w:hAnsi="Tahoma" w:cs="Tahoma"/>
                <w:sz w:val="18"/>
                <w:szCs w:val="18"/>
                <w:u w:val="single"/>
              </w:rPr>
              <w:t>__________</w:t>
            </w:r>
            <w:r w:rsidR="003543DA">
              <w:rPr>
                <w:rFonts w:ascii="Tahoma" w:hAnsi="Tahoma" w:cs="Tahoma"/>
                <w:sz w:val="18"/>
                <w:szCs w:val="18"/>
              </w:rPr>
              <w:t xml:space="preserve">_____________________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 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 xml:space="preserve">Unless specifically stated on the face of this proposal, no repairs to roof deck, installation of wood strips or </w:t>
      </w:r>
      <w:proofErr w:type="gramStart"/>
      <w:r w:rsidRPr="00CB29E0">
        <w:rPr>
          <w:sz w:val="13"/>
          <w:szCs w:val="13"/>
        </w:rPr>
        <w:t>cant</w:t>
      </w:r>
      <w:proofErr w:type="gramEnd"/>
      <w:r w:rsidRPr="00CB29E0">
        <w:rPr>
          <w:sz w:val="13"/>
          <w:szCs w:val="13"/>
        </w:rPr>
        <w:t xml:space="preserve">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w:t>
      </w:r>
      <w:proofErr w:type="gramStart"/>
      <w:r w:rsidRPr="00CB29E0">
        <w:rPr>
          <w:sz w:val="13"/>
          <w:szCs w:val="13"/>
        </w:rPr>
        <w:t>is</w:t>
      </w:r>
      <w:proofErr w:type="gramEnd"/>
      <w:r w:rsidRPr="00CB29E0">
        <w:rPr>
          <w:sz w:val="13"/>
          <w:szCs w:val="13"/>
        </w:rPr>
        <w:t xml:space="preserve">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 xml:space="preserve">Owner and Contractor acknowledge that </w:t>
      </w:r>
      <w:proofErr w:type="gramStart"/>
      <w:r w:rsidRPr="00CB29E0">
        <w:rPr>
          <w:sz w:val="12"/>
          <w:szCs w:val="12"/>
        </w:rPr>
        <w:t>asphalt  may</w:t>
      </w:r>
      <w:proofErr w:type="gramEnd"/>
      <w:r w:rsidRPr="00CB29E0">
        <w:rPr>
          <w:sz w:val="12"/>
          <w:szCs w:val="12"/>
        </w:rPr>
        <w:t xml:space="preserve">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 xml:space="preserve">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w:t>
      </w:r>
      <w:proofErr w:type="gramStart"/>
      <w:r w:rsidR="00D73D5D" w:rsidRPr="00D73D5D">
        <w:rPr>
          <w:sz w:val="13"/>
        </w:rPr>
        <w:t>contractors</w:t>
      </w:r>
      <w:proofErr w:type="gramEnd"/>
      <w:r w:rsidR="00D73D5D" w:rsidRPr="00D73D5D">
        <w:rPr>
          <w:sz w:val="13"/>
        </w:rPr>
        <w:t xml:space="preserve">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 xml:space="preserve">Contractor is not responsible for the </w:t>
      </w:r>
      <w:proofErr w:type="gramStart"/>
      <w:r w:rsidRPr="00CB29E0">
        <w:rPr>
          <w:sz w:val="12"/>
          <w:szCs w:val="12"/>
        </w:rPr>
        <w:t>actual  verification</w:t>
      </w:r>
      <w:proofErr w:type="gramEnd"/>
      <w:r w:rsidRPr="00CB29E0">
        <w:rPr>
          <w:sz w:val="12"/>
          <w:szCs w:val="12"/>
        </w:rPr>
        <w:t xml:space="preserve">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2B648" w14:textId="77777777" w:rsidR="0015385D" w:rsidRDefault="0015385D">
      <w:r>
        <w:separator/>
      </w:r>
    </w:p>
  </w:endnote>
  <w:endnote w:type="continuationSeparator" w:id="0">
    <w:p w14:paraId="480EFCD8" w14:textId="77777777" w:rsidR="0015385D" w:rsidRDefault="0015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FBD7" w14:textId="77777777" w:rsidR="0015385D" w:rsidRDefault="0015385D">
      <w:r>
        <w:separator/>
      </w:r>
    </w:p>
  </w:footnote>
  <w:footnote w:type="continuationSeparator" w:id="0">
    <w:p w14:paraId="2649F93A" w14:textId="77777777" w:rsidR="0015385D" w:rsidRDefault="00153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9.2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429DC"/>
    <w:rsid w:val="004524C7"/>
    <w:rsid w:val="004607C3"/>
    <w:rsid w:val="00467D59"/>
    <w:rsid w:val="004963B9"/>
    <w:rsid w:val="004967E8"/>
    <w:rsid w:val="004A3047"/>
    <w:rsid w:val="004A4B9E"/>
    <w:rsid w:val="004C0135"/>
    <w:rsid w:val="004D4105"/>
    <w:rsid w:val="004E2A8C"/>
    <w:rsid w:val="004E6090"/>
    <w:rsid w:val="00501B66"/>
    <w:rsid w:val="00516001"/>
    <w:rsid w:val="00524370"/>
    <w:rsid w:val="0052779E"/>
    <w:rsid w:val="00533F65"/>
    <w:rsid w:val="00535FF1"/>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D652E"/>
    <w:rsid w:val="00701727"/>
    <w:rsid w:val="00704635"/>
    <w:rsid w:val="00707B54"/>
    <w:rsid w:val="00721CDA"/>
    <w:rsid w:val="00727DA8"/>
    <w:rsid w:val="00740FE0"/>
    <w:rsid w:val="007573C5"/>
    <w:rsid w:val="00766E0B"/>
    <w:rsid w:val="007701C9"/>
    <w:rsid w:val="007711C0"/>
    <w:rsid w:val="00777469"/>
    <w:rsid w:val="00781489"/>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76B9C"/>
    <w:rsid w:val="00985379"/>
    <w:rsid w:val="009964C7"/>
    <w:rsid w:val="009A54E5"/>
    <w:rsid w:val="009D2596"/>
    <w:rsid w:val="009E53C4"/>
    <w:rsid w:val="009E7C27"/>
    <w:rsid w:val="00A22477"/>
    <w:rsid w:val="00A24951"/>
    <w:rsid w:val="00A32395"/>
    <w:rsid w:val="00A465F5"/>
    <w:rsid w:val="00A55A3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35F0"/>
    <w:rsid w:val="00E14E1B"/>
    <w:rsid w:val="00E15786"/>
    <w:rsid w:val="00E16600"/>
    <w:rsid w:val="00E275B2"/>
    <w:rsid w:val="00E31B4F"/>
    <w:rsid w:val="00E363E0"/>
    <w:rsid w:val="00E63C49"/>
    <w:rsid w:val="00E7631D"/>
    <w:rsid w:val="00E81DD2"/>
    <w:rsid w:val="00EC5A6C"/>
    <w:rsid w:val="00EC5A76"/>
    <w:rsid w:val="00ED5A39"/>
    <w:rsid w:val="00EE3B92"/>
    <w:rsid w:val="00EE48F8"/>
    <w:rsid w:val="00EF3778"/>
    <w:rsid w:val="00F22786"/>
    <w:rsid w:val="00F244EA"/>
    <w:rsid w:val="00F518A9"/>
    <w:rsid w:val="00F70778"/>
    <w:rsid w:val="00F809CD"/>
    <w:rsid w:val="00F86657"/>
    <w:rsid w:val="00FA5443"/>
    <w:rsid w:val="00FA75EA"/>
    <w:rsid w:val="00FB4040"/>
    <w:rsid w:val="00FC0BDB"/>
    <w:rsid w:val="00FC763A"/>
    <w:rsid w:val="00FE2CD5"/>
    <w:rsid w:val="00FE65EA"/>
    <w:rsid w:val="00FF0EAA"/>
    <w:rsid w:val="00FF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ostalCode"/>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2</cp:revision>
  <cp:lastPrinted>2025-01-08T23:34:00Z</cp:lastPrinted>
  <dcterms:created xsi:type="dcterms:W3CDTF">2025-02-21T23:23:00Z</dcterms:created>
  <dcterms:modified xsi:type="dcterms:W3CDTF">2025-02-21T23:23:00Z</dcterms:modified>
</cp:coreProperties>
</file>