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7F01" w14:textId="77777777" w:rsidR="00735B8D" w:rsidRPr="00735B8D" w:rsidRDefault="00735B8D" w:rsidP="00735B8D">
      <w:pPr>
        <w:rPr>
          <w:b/>
          <w:bCs/>
          <w:lang w:val="en-AU"/>
        </w:rPr>
      </w:pPr>
      <w:r w:rsidRPr="00735B8D">
        <w:rPr>
          <w:rFonts w:ascii="Segoe UI Emoji" w:hAnsi="Segoe UI Emoji" w:cs="Segoe UI Emoji"/>
          <w:b/>
          <w:bCs/>
          <w:lang w:val="en-AU"/>
        </w:rPr>
        <w:t>☁️</w:t>
      </w:r>
      <w:r w:rsidRPr="00735B8D">
        <w:rPr>
          <w:b/>
          <w:bCs/>
          <w:lang w:val="en-AU"/>
        </w:rPr>
        <w:t xml:space="preserve"> Service-Oriented Computing (SOC): Key Concepts and Principles</w:t>
      </w:r>
    </w:p>
    <w:p w14:paraId="0A7F472C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t xml:space="preserve">Service-Oriented Computing (SOC) provides an architectural approach for building complex distributed applications in </w:t>
      </w:r>
      <w:r w:rsidRPr="00735B8D">
        <w:rPr>
          <w:b/>
          <w:bCs/>
          <w:lang w:val="en-AU"/>
        </w:rPr>
        <w:t>open, autonomous, and heterogeneous environments</w:t>
      </w:r>
      <w:r w:rsidRPr="00735B8D">
        <w:rPr>
          <w:lang w:val="en-AU"/>
        </w:rPr>
        <w:t xml:space="preserve">. It uses </w:t>
      </w:r>
      <w:r w:rsidRPr="00735B8D">
        <w:rPr>
          <w:b/>
          <w:bCs/>
          <w:lang w:val="en-AU"/>
        </w:rPr>
        <w:t>services</w:t>
      </w:r>
      <w:r w:rsidRPr="00735B8D">
        <w:rPr>
          <w:lang w:val="en-AU"/>
        </w:rPr>
        <w:t xml:space="preserve"> as high-level abstractions to improve productivity and application quality, moving beyond traditional software development models.</w:t>
      </w:r>
    </w:p>
    <w:p w14:paraId="4FDA158F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pict w14:anchorId="2ECABBE2">
          <v:rect id="_x0000_i1097" style="width:0;height:1.5pt" o:hralign="center" o:hrstd="t" o:hr="t" fillcolor="#a0a0a0" stroked="f"/>
        </w:pict>
      </w:r>
    </w:p>
    <w:p w14:paraId="7C7A0016" w14:textId="77777777" w:rsidR="00735B8D" w:rsidRPr="00735B8D" w:rsidRDefault="00735B8D" w:rsidP="00735B8D">
      <w:pPr>
        <w:rPr>
          <w:b/>
          <w:bCs/>
          <w:lang w:val="en-AU"/>
        </w:rPr>
      </w:pPr>
      <w:r w:rsidRPr="00735B8D">
        <w:rPr>
          <w:b/>
          <w:bCs/>
          <w:lang w:val="en-AU"/>
        </w:rPr>
        <w:t>1. Core Abstractions and Architecture</w:t>
      </w:r>
    </w:p>
    <w:p w14:paraId="6F6256D5" w14:textId="77777777" w:rsidR="00735B8D" w:rsidRPr="00735B8D" w:rsidRDefault="00735B8D" w:rsidP="00735B8D">
      <w:pPr>
        <w:numPr>
          <w:ilvl w:val="0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Service Definition:</w:t>
      </w:r>
      <w:r w:rsidRPr="00735B8D">
        <w:rPr>
          <w:lang w:val="en-AU"/>
        </w:rPr>
        <w:t xml:space="preserve"> Services are higher-level abstractions for organizing applications in large-scale, open environments, facilitating automated use.</w:t>
      </w:r>
    </w:p>
    <w:p w14:paraId="2AAA198C" w14:textId="77777777" w:rsidR="00735B8D" w:rsidRPr="00735B8D" w:rsidRDefault="00735B8D" w:rsidP="00735B8D">
      <w:pPr>
        <w:numPr>
          <w:ilvl w:val="0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Service-Based Application Architecture:</w:t>
      </w:r>
      <w:r w:rsidRPr="00735B8D">
        <w:rPr>
          <w:lang w:val="en-AU"/>
        </w:rPr>
        <w:t xml:space="preserve"> Consists of three main parts:</w:t>
      </w:r>
    </w:p>
    <w:p w14:paraId="5AA2E68D" w14:textId="77777777" w:rsidR="00735B8D" w:rsidRPr="00735B8D" w:rsidRDefault="00735B8D" w:rsidP="00735B8D">
      <w:pPr>
        <w:numPr>
          <w:ilvl w:val="1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Provider:</w:t>
      </w:r>
      <w:r w:rsidRPr="00735B8D">
        <w:rPr>
          <w:lang w:val="en-AU"/>
        </w:rPr>
        <w:t xml:space="preserve"> Publishes or announces its services.</w:t>
      </w:r>
    </w:p>
    <w:p w14:paraId="36738F22" w14:textId="77777777" w:rsidR="00735B8D" w:rsidRPr="00735B8D" w:rsidRDefault="00735B8D" w:rsidP="00735B8D">
      <w:pPr>
        <w:numPr>
          <w:ilvl w:val="1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Registry:</w:t>
      </w:r>
      <w:r w:rsidRPr="00735B8D">
        <w:rPr>
          <w:lang w:val="en-AU"/>
        </w:rPr>
        <w:t xml:space="preserve"> Where providers publish and consumers find services (e.g., UDDI in Web services).</w:t>
      </w:r>
    </w:p>
    <w:p w14:paraId="0A46D203" w14:textId="77777777" w:rsidR="00735B8D" w:rsidRPr="00735B8D" w:rsidRDefault="00735B8D" w:rsidP="00735B8D">
      <w:pPr>
        <w:numPr>
          <w:ilvl w:val="1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Consumer (Requestor):</w:t>
      </w:r>
      <w:r w:rsidRPr="00735B8D">
        <w:rPr>
          <w:lang w:val="en-AU"/>
        </w:rPr>
        <w:t xml:space="preserve"> Finds and invokes services.</w:t>
      </w:r>
    </w:p>
    <w:p w14:paraId="59F37B94" w14:textId="77777777" w:rsidR="00735B8D" w:rsidRPr="00735B8D" w:rsidRDefault="00735B8D" w:rsidP="00735B8D">
      <w:pPr>
        <w:numPr>
          <w:ilvl w:val="0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Web Services vs. SOC:</w:t>
      </w:r>
      <w:r w:rsidRPr="00735B8D">
        <w:rPr>
          <w:lang w:val="en-AU"/>
        </w:rPr>
        <w:t xml:space="preserve"> Current </w:t>
      </w:r>
      <w:r w:rsidRPr="00735B8D">
        <w:rPr>
          <w:b/>
          <w:bCs/>
          <w:lang w:val="en-AU"/>
        </w:rPr>
        <w:t>Web service standards</w:t>
      </w:r>
      <w:r w:rsidRPr="00735B8D">
        <w:rPr>
          <w:lang w:val="en-AU"/>
        </w:rPr>
        <w:t xml:space="preserve"> (like SOAP, WSDL) provide a practical framework (an SOA base), but </w:t>
      </w:r>
      <w:r w:rsidRPr="00735B8D">
        <w:rPr>
          <w:b/>
          <w:bCs/>
          <w:lang w:val="en-AU"/>
        </w:rPr>
        <w:t>SOC concepts</w:t>
      </w:r>
      <w:r w:rsidRPr="00735B8D">
        <w:rPr>
          <w:lang w:val="en-AU"/>
        </w:rPr>
        <w:t xml:space="preserve"> are broader and not limited by current Web service technology or standards. SOC emphasizes </w:t>
      </w:r>
      <w:r w:rsidRPr="00735B8D">
        <w:rPr>
          <w:b/>
          <w:bCs/>
          <w:lang w:val="en-AU"/>
        </w:rPr>
        <w:t>semantically rich models</w:t>
      </w:r>
      <w:r w:rsidRPr="00735B8D">
        <w:rPr>
          <w:lang w:val="en-AU"/>
        </w:rPr>
        <w:t xml:space="preserve"> and techniques (often taken from established computer science) that are often omitted from basic Web service expositions.</w:t>
      </w:r>
    </w:p>
    <w:p w14:paraId="6CD8C956" w14:textId="77777777" w:rsidR="00735B8D" w:rsidRPr="00735B8D" w:rsidRDefault="00735B8D" w:rsidP="00735B8D">
      <w:pPr>
        <w:numPr>
          <w:ilvl w:val="0"/>
          <w:numId w:val="4"/>
        </w:numPr>
        <w:rPr>
          <w:lang w:val="en-AU"/>
        </w:rPr>
      </w:pPr>
      <w:r w:rsidRPr="00735B8D">
        <w:rPr>
          <w:b/>
          <w:bCs/>
          <w:lang w:val="en-AU"/>
        </w:rPr>
        <w:t>Agent-Like Behavior:</w:t>
      </w:r>
      <w:r w:rsidRPr="00735B8D">
        <w:rPr>
          <w:lang w:val="en-AU"/>
        </w:rPr>
        <w:t xml:space="preserve"> Service providers often adopt </w:t>
      </w:r>
      <w:r w:rsidRPr="00735B8D">
        <w:rPr>
          <w:b/>
          <w:bCs/>
          <w:lang w:val="en-AU"/>
        </w:rPr>
        <w:t>agent-like behaviors</w:t>
      </w:r>
      <w:r w:rsidRPr="00735B8D">
        <w:rPr>
          <w:lang w:val="en-AU"/>
        </w:rPr>
        <w:t xml:space="preserve"> (proaction, autonomy, negotiation, exception handling) to deal with the demands of open, dynamic environments.</w:t>
      </w:r>
    </w:p>
    <w:p w14:paraId="53B0C9A6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pict w14:anchorId="3296A43F">
          <v:rect id="_x0000_i1098" style="width:0;height:1.5pt" o:hralign="center" o:hrstd="t" o:hr="t" fillcolor="#a0a0a0" stroked="f"/>
        </w:pict>
      </w:r>
    </w:p>
    <w:p w14:paraId="4034C43D" w14:textId="77777777" w:rsidR="00735B8D" w:rsidRPr="00735B8D" w:rsidRDefault="00735B8D" w:rsidP="00735B8D">
      <w:pPr>
        <w:rPr>
          <w:b/>
          <w:bCs/>
          <w:lang w:val="en-AU"/>
        </w:rPr>
      </w:pPr>
      <w:r w:rsidRPr="00735B8D">
        <w:rPr>
          <w:b/>
          <w:bCs/>
          <w:lang w:val="en-AU"/>
        </w:rPr>
        <w:t>2. Abstraction Levels in SOC</w:t>
      </w:r>
    </w:p>
    <w:p w14:paraId="43593752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t>SOC applies to various levels of system interaction, from local enterprise systems to global infrastructure: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596"/>
        <w:gridCol w:w="4061"/>
      </w:tblGrid>
      <w:tr w:rsidR="00735B8D" w:rsidRPr="00735B8D" w14:paraId="15DFDB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C127D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Abstraction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2D1C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Context/Challenge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73FE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SOC Solution</w:t>
            </w:r>
          </w:p>
        </w:tc>
      </w:tr>
      <w:tr w:rsidR="00735B8D" w:rsidRPr="00735B8D" w14:paraId="39041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6AD4F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Intraenterprise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37EF9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lang w:val="en-AU"/>
              </w:rPr>
              <w:t xml:space="preserve">Interoperability among complex, heterogeneous </w:t>
            </w:r>
            <w:r w:rsidRPr="00735B8D">
              <w:rPr>
                <w:b/>
                <w:bCs/>
                <w:lang w:val="en-AU"/>
              </w:rPr>
              <w:t>legacy systems</w:t>
            </w:r>
            <w:r w:rsidRPr="00735B8D">
              <w:rPr>
                <w:lang w:val="en-AU"/>
              </w:rPr>
              <w:t xml:space="preserve"> within one organization (e.g., hospital billing, payroll, scheduling).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AF70B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lang w:val="en-AU"/>
              </w:rPr>
              <w:t xml:space="preserve">Uses services to </w:t>
            </w:r>
            <w:r w:rsidRPr="00735B8D">
              <w:rPr>
                <w:b/>
                <w:bCs/>
                <w:lang w:val="en-AU"/>
              </w:rPr>
              <w:t>encapsulate behavior</w:t>
            </w:r>
            <w:r w:rsidRPr="00735B8D">
              <w:rPr>
                <w:lang w:val="en-AU"/>
              </w:rPr>
              <w:t xml:space="preserve"> at various levels with consistent semantics; policies are made </w:t>
            </w:r>
            <w:r w:rsidRPr="00735B8D">
              <w:rPr>
                <w:b/>
                <w:bCs/>
                <w:lang w:val="en-AU"/>
              </w:rPr>
              <w:t>explicit</w:t>
            </w:r>
            <w:r w:rsidRPr="00735B8D">
              <w:rPr>
                <w:lang w:val="en-AU"/>
              </w:rPr>
              <w:t xml:space="preserve"> for organizational enforcement (authentication, authorization).</w:t>
            </w:r>
          </w:p>
        </w:tc>
      </w:tr>
      <w:tr w:rsidR="00735B8D" w:rsidRPr="00735B8D" w14:paraId="3DE58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88EB4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Interenterprise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77F55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lang w:val="en-AU"/>
              </w:rPr>
              <w:t xml:space="preserve">Collaboration among </w:t>
            </w:r>
            <w:r w:rsidRPr="00735B8D">
              <w:rPr>
                <w:b/>
                <w:bCs/>
                <w:lang w:val="en-AU"/>
              </w:rPr>
              <w:t>separate organizations</w:t>
            </w:r>
            <w:r w:rsidRPr="00735B8D">
              <w:rPr>
                <w:lang w:val="en-AU"/>
              </w:rPr>
              <w:t xml:space="preserve"> (e.g., supply chains, online billing). Challenge is overcoming rigid standards (EDI) and ad hoc human intervention.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CC81B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Choreographs behaviors</w:t>
            </w:r>
            <w:r w:rsidRPr="00735B8D">
              <w:rPr>
                <w:lang w:val="en-AU"/>
              </w:rPr>
              <w:t xml:space="preserve"> to achieve coherent cross-enterprise processes; supports </w:t>
            </w:r>
            <w:r w:rsidRPr="00735B8D">
              <w:rPr>
                <w:b/>
                <w:bCs/>
                <w:lang w:val="en-AU"/>
              </w:rPr>
              <w:t>dynamic selection</w:t>
            </w:r>
            <w:r w:rsidRPr="00735B8D">
              <w:rPr>
                <w:lang w:val="en-AU"/>
              </w:rPr>
              <w:t xml:space="preserve"> of partners based on quality-of-service (QoS) criteria; </w:t>
            </w:r>
            <w:r w:rsidRPr="00735B8D">
              <w:rPr>
                <w:lang w:val="en-AU"/>
              </w:rPr>
              <w:lastRenderedPageBreak/>
              <w:t xml:space="preserve">provides application-level </w:t>
            </w:r>
            <w:r w:rsidRPr="00735B8D">
              <w:rPr>
                <w:b/>
                <w:bCs/>
                <w:lang w:val="en-AU"/>
              </w:rPr>
              <w:t>fault tolerance</w:t>
            </w:r>
            <w:r w:rsidRPr="00735B8D">
              <w:rPr>
                <w:lang w:val="en-AU"/>
              </w:rPr>
              <w:t xml:space="preserve"> through recovery models.</w:t>
            </w:r>
          </w:p>
        </w:tc>
      </w:tr>
      <w:tr w:rsidR="00735B8D" w:rsidRPr="00735B8D" w14:paraId="286A0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98139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lastRenderedPageBreak/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F2D04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Utility computing</w:t>
            </w:r>
            <w:r w:rsidRPr="00735B8D">
              <w:rPr>
                <w:lang w:val="en-AU"/>
              </w:rPr>
              <w:t xml:space="preserve"> (Grid architectures) where computational resources are brought together on demand.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ECCF8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lang w:val="en-AU"/>
              </w:rPr>
              <w:t>Services abstract the infrastructure, enabling efficient usage of Grid resources and facilitating utility computing, including dynamic binding and fault tolerance.</w:t>
            </w:r>
          </w:p>
        </w:tc>
      </w:tr>
      <w:tr w:rsidR="00735B8D" w:rsidRPr="00735B8D" w14:paraId="05388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50BC8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b/>
                <w:bCs/>
                <w:lang w:val="en-AU"/>
              </w:rPr>
              <w:t>Software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1A2E3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lang w:val="en-AU"/>
              </w:rPr>
              <w:t xml:space="preserve">Programming abstractions for potentially </w:t>
            </w:r>
            <w:r w:rsidRPr="00735B8D">
              <w:rPr>
                <w:b/>
                <w:bCs/>
                <w:lang w:val="en-AU"/>
              </w:rPr>
              <w:t>autonomous software modules</w:t>
            </w:r>
            <w:r w:rsidRPr="00735B8D">
              <w:rPr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2D740" w14:textId="77777777" w:rsidR="00735B8D" w:rsidRPr="00735B8D" w:rsidRDefault="00735B8D" w:rsidP="00735B8D">
            <w:pPr>
              <w:rPr>
                <w:lang w:val="en-AU"/>
              </w:rPr>
            </w:pPr>
            <w:r w:rsidRPr="00735B8D">
              <w:rPr>
                <w:lang w:val="en-AU"/>
              </w:rPr>
              <w:t xml:space="preserve">Provides a </w:t>
            </w:r>
            <w:r w:rsidRPr="00735B8D">
              <w:rPr>
                <w:b/>
                <w:bCs/>
                <w:lang w:val="en-AU"/>
              </w:rPr>
              <w:t>semantically rich and flexible computational model</w:t>
            </w:r>
            <w:r w:rsidRPr="00735B8D">
              <w:rPr>
                <w:lang w:val="en-AU"/>
              </w:rPr>
              <w:t xml:space="preserve"> that simplifies software development and makes modules easily customizable.</w:t>
            </w:r>
          </w:p>
        </w:tc>
      </w:tr>
    </w:tbl>
    <w:p w14:paraId="6443ACF5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pict w14:anchorId="5827C1E1">
          <v:rect id="_x0000_i1099" style="width:0;height:1.5pt" o:hralign="center" o:hrstd="t" o:hr="t" fillcolor="#a0a0a0" stroked="f"/>
        </w:pict>
      </w:r>
    </w:p>
    <w:p w14:paraId="134F28DF" w14:textId="77777777" w:rsidR="00735B8D" w:rsidRPr="00735B8D" w:rsidRDefault="00735B8D" w:rsidP="00735B8D">
      <w:pPr>
        <w:rPr>
          <w:b/>
          <w:bCs/>
          <w:lang w:val="en-AU"/>
        </w:rPr>
      </w:pPr>
      <w:r w:rsidRPr="00735B8D">
        <w:rPr>
          <w:b/>
          <w:bCs/>
          <w:lang w:val="en-AU"/>
        </w:rPr>
        <w:t>3. Service-Oriented Architecture (SOA) Principles</w:t>
      </w:r>
    </w:p>
    <w:p w14:paraId="5EDF9BC5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t>For an SOA to succeed, it must adhere to several key principles:</w:t>
      </w:r>
    </w:p>
    <w:p w14:paraId="4367CD93" w14:textId="77777777" w:rsidR="00735B8D" w:rsidRPr="00735B8D" w:rsidRDefault="00735B8D" w:rsidP="00735B8D">
      <w:pPr>
        <w:numPr>
          <w:ilvl w:val="0"/>
          <w:numId w:val="5"/>
        </w:numPr>
        <w:rPr>
          <w:lang w:val="en-AU"/>
        </w:rPr>
      </w:pPr>
      <w:r w:rsidRPr="00735B8D">
        <w:rPr>
          <w:b/>
          <w:bCs/>
          <w:lang w:val="en-AU"/>
        </w:rPr>
        <w:t>Loose Coupling:</w:t>
      </w:r>
      <w:r w:rsidRPr="00735B8D">
        <w:rPr>
          <w:lang w:val="en-AU"/>
        </w:rPr>
        <w:t xml:space="preserve"> Essential for components to operate autonomously. High-level </w:t>
      </w:r>
      <w:r w:rsidRPr="00735B8D">
        <w:rPr>
          <w:b/>
          <w:bCs/>
          <w:lang w:val="en-AU"/>
        </w:rPr>
        <w:t>contractual relationships</w:t>
      </w:r>
      <w:r w:rsidRPr="00735B8D">
        <w:rPr>
          <w:lang w:val="en-AU"/>
        </w:rPr>
        <w:t xml:space="preserve"> specify interactions to achieve system-level consistency, rather than tight conventional transactional properties (like TP monitors) which are inappropriate for open environments.</w:t>
      </w:r>
    </w:p>
    <w:p w14:paraId="004667A8" w14:textId="77777777" w:rsidR="00735B8D" w:rsidRPr="00735B8D" w:rsidRDefault="00735B8D" w:rsidP="00735B8D">
      <w:pPr>
        <w:numPr>
          <w:ilvl w:val="0"/>
          <w:numId w:val="5"/>
        </w:numPr>
        <w:rPr>
          <w:lang w:val="en-AU"/>
        </w:rPr>
      </w:pPr>
      <w:r w:rsidRPr="00735B8D">
        <w:rPr>
          <w:b/>
          <w:bCs/>
          <w:lang w:val="en-AU"/>
        </w:rPr>
        <w:t>Implementation Neutrality:</w:t>
      </w:r>
      <w:r w:rsidRPr="00735B8D">
        <w:rPr>
          <w:lang w:val="en-AU"/>
        </w:rPr>
        <w:t xml:space="preserve"> Service interfaces are paramount. The architecture </w:t>
      </w:r>
      <w:r w:rsidRPr="00735B8D">
        <w:rPr>
          <w:b/>
          <w:bCs/>
          <w:lang w:val="en-AU"/>
        </w:rPr>
        <w:t>cannot be specific to a set of programming languages</w:t>
      </w:r>
      <w:r w:rsidRPr="00735B8D">
        <w:rPr>
          <w:lang w:val="en-AU"/>
        </w:rPr>
        <w:t xml:space="preserve"> to allow inclusion of diverse implementations, including legacy systems.</w:t>
      </w:r>
    </w:p>
    <w:p w14:paraId="2803570C" w14:textId="77777777" w:rsidR="00735B8D" w:rsidRPr="00735B8D" w:rsidRDefault="00735B8D" w:rsidP="00735B8D">
      <w:pPr>
        <w:numPr>
          <w:ilvl w:val="0"/>
          <w:numId w:val="5"/>
        </w:numPr>
        <w:rPr>
          <w:lang w:val="en-AU"/>
        </w:rPr>
      </w:pPr>
      <w:r w:rsidRPr="00735B8D">
        <w:rPr>
          <w:b/>
          <w:bCs/>
          <w:lang w:val="en-AU"/>
        </w:rPr>
        <w:t>Flexible Configurability:</w:t>
      </w:r>
      <w:r w:rsidRPr="00735B8D">
        <w:rPr>
          <w:lang w:val="en-AU"/>
        </w:rPr>
        <w:t xml:space="preserve"> Components are </w:t>
      </w:r>
      <w:r w:rsidRPr="00735B8D">
        <w:rPr>
          <w:b/>
          <w:bCs/>
          <w:lang w:val="en-AU"/>
        </w:rPr>
        <w:t>bound late and flexibly</w:t>
      </w:r>
      <w:r w:rsidRPr="00735B8D">
        <w:rPr>
          <w:lang w:val="en-AU"/>
        </w:rPr>
        <w:t>, allowing the configuration to change dynamically without correctness loss.</w:t>
      </w:r>
    </w:p>
    <w:p w14:paraId="232F37FC" w14:textId="77777777" w:rsidR="00735B8D" w:rsidRPr="00735B8D" w:rsidRDefault="00735B8D" w:rsidP="00735B8D">
      <w:pPr>
        <w:numPr>
          <w:ilvl w:val="0"/>
          <w:numId w:val="5"/>
        </w:numPr>
        <w:rPr>
          <w:lang w:val="en-AU"/>
        </w:rPr>
      </w:pPr>
      <w:r w:rsidRPr="00735B8D">
        <w:rPr>
          <w:b/>
          <w:bCs/>
          <w:lang w:val="en-AU"/>
        </w:rPr>
        <w:t>Persistence:</w:t>
      </w:r>
      <w:r w:rsidRPr="00735B8D">
        <w:rPr>
          <w:lang w:val="en-AU"/>
        </w:rPr>
        <w:t xml:space="preserve"> Services must exist long enough to handle </w:t>
      </w:r>
      <w:r w:rsidRPr="00735B8D">
        <w:rPr>
          <w:b/>
          <w:bCs/>
          <w:lang w:val="en-AU"/>
        </w:rPr>
        <w:t>exceptions</w:t>
      </w:r>
      <w:r w:rsidRPr="00735B8D">
        <w:rPr>
          <w:lang w:val="en-AU"/>
        </w:rPr>
        <w:t xml:space="preserve">, </w:t>
      </w:r>
      <w:r w:rsidRPr="00735B8D">
        <w:rPr>
          <w:b/>
          <w:bCs/>
          <w:lang w:val="en-AU"/>
        </w:rPr>
        <w:t>take corrective action</w:t>
      </w:r>
      <w:r w:rsidRPr="00735B8D">
        <w:rPr>
          <w:lang w:val="en-AU"/>
        </w:rPr>
        <w:t xml:space="preserve">, and </w:t>
      </w:r>
      <w:r w:rsidRPr="00735B8D">
        <w:rPr>
          <w:b/>
          <w:bCs/>
          <w:lang w:val="en-AU"/>
        </w:rPr>
        <w:t>engender trust</w:t>
      </w:r>
      <w:r w:rsidRPr="00735B8D">
        <w:rPr>
          <w:lang w:val="en-AU"/>
        </w:rPr>
        <w:t xml:space="preserve"> (reputation) among dynamically engaged parties.</w:t>
      </w:r>
    </w:p>
    <w:p w14:paraId="6583917E" w14:textId="77777777" w:rsidR="00735B8D" w:rsidRPr="00735B8D" w:rsidRDefault="00735B8D" w:rsidP="00735B8D">
      <w:pPr>
        <w:numPr>
          <w:ilvl w:val="0"/>
          <w:numId w:val="5"/>
        </w:numPr>
        <w:rPr>
          <w:lang w:val="en-AU"/>
        </w:rPr>
      </w:pPr>
      <w:r w:rsidRPr="00735B8D">
        <w:rPr>
          <w:b/>
          <w:bCs/>
          <w:lang w:val="en-AU"/>
        </w:rPr>
        <w:t>Granularity:</w:t>
      </w:r>
      <w:r w:rsidRPr="00735B8D">
        <w:rPr>
          <w:lang w:val="en-AU"/>
        </w:rPr>
        <w:t xml:space="preserve"> Participants must be modeled at a </w:t>
      </w:r>
      <w:r w:rsidRPr="00735B8D">
        <w:rPr>
          <w:b/>
          <w:bCs/>
          <w:lang w:val="en-AU"/>
        </w:rPr>
        <w:t>coarse granularity</w:t>
      </w:r>
      <w:r w:rsidRPr="00735B8D">
        <w:rPr>
          <w:lang w:val="en-AU"/>
        </w:rPr>
        <w:t xml:space="preserve"> to reduce dependencies and simplify communication (fewer messages of greater significance).</w:t>
      </w:r>
    </w:p>
    <w:p w14:paraId="03716B8A" w14:textId="77777777" w:rsidR="00735B8D" w:rsidRPr="00735B8D" w:rsidRDefault="00735B8D" w:rsidP="00735B8D">
      <w:pPr>
        <w:numPr>
          <w:ilvl w:val="0"/>
          <w:numId w:val="5"/>
        </w:numPr>
        <w:rPr>
          <w:lang w:val="en-AU"/>
        </w:rPr>
      </w:pPr>
      <w:r w:rsidRPr="00735B8D">
        <w:rPr>
          <w:b/>
          <w:bCs/>
          <w:lang w:val="en-AU"/>
        </w:rPr>
        <w:t>Teams:</w:t>
      </w:r>
      <w:r w:rsidRPr="00735B8D">
        <w:rPr>
          <w:lang w:val="en-AU"/>
        </w:rPr>
        <w:t xml:space="preserve"> Computations are framed in terms of </w:t>
      </w:r>
      <w:r w:rsidRPr="00735B8D">
        <w:rPr>
          <w:b/>
          <w:bCs/>
          <w:lang w:val="en-AU"/>
        </w:rPr>
        <w:t>autonomous parties working cooperatively as business partners</w:t>
      </w:r>
      <w:r w:rsidRPr="00735B8D">
        <w:rPr>
          <w:lang w:val="en-AU"/>
        </w:rPr>
        <w:t>, aligning with multiagent system research.</w:t>
      </w:r>
    </w:p>
    <w:p w14:paraId="31373BAA" w14:textId="77777777" w:rsidR="00735B8D" w:rsidRPr="00735B8D" w:rsidRDefault="00735B8D" w:rsidP="00735B8D">
      <w:pPr>
        <w:rPr>
          <w:lang w:val="en-AU"/>
        </w:rPr>
      </w:pPr>
      <w:r w:rsidRPr="00735B8D">
        <w:rPr>
          <w:lang w:val="en-AU"/>
        </w:rPr>
        <w:pict w14:anchorId="0845A909">
          <v:rect id="_x0000_i1100" style="width:0;height:1.5pt" o:hralign="center" o:hrstd="t" o:hr="t" fillcolor="#a0a0a0" stroked="f"/>
        </w:pict>
      </w:r>
    </w:p>
    <w:p w14:paraId="2EF8BAE1" w14:textId="77777777" w:rsidR="00735B8D" w:rsidRPr="00735B8D" w:rsidRDefault="00735B8D" w:rsidP="00735B8D">
      <w:pPr>
        <w:rPr>
          <w:b/>
          <w:bCs/>
          <w:lang w:val="en-AU"/>
        </w:rPr>
      </w:pPr>
      <w:r w:rsidRPr="00735B8D">
        <w:rPr>
          <w:b/>
          <w:bCs/>
          <w:lang w:val="en-AU"/>
        </w:rPr>
        <w:t>4. Challenges and Next Steps</w:t>
      </w:r>
    </w:p>
    <w:p w14:paraId="17262694" w14:textId="77777777" w:rsidR="00735B8D" w:rsidRPr="00735B8D" w:rsidRDefault="00735B8D" w:rsidP="00735B8D">
      <w:pPr>
        <w:numPr>
          <w:ilvl w:val="0"/>
          <w:numId w:val="6"/>
        </w:numPr>
        <w:rPr>
          <w:lang w:val="en-AU"/>
        </w:rPr>
      </w:pPr>
      <w:r w:rsidRPr="00735B8D">
        <w:rPr>
          <w:b/>
          <w:bCs/>
          <w:lang w:val="en-AU"/>
        </w:rPr>
        <w:t>Composition is Crucial:</w:t>
      </w:r>
      <w:r w:rsidRPr="00735B8D">
        <w:rPr>
          <w:lang w:val="en-AU"/>
        </w:rPr>
        <w:t xml:space="preserve"> The ability to </w:t>
      </w:r>
      <w:r w:rsidRPr="00735B8D">
        <w:rPr>
          <w:b/>
          <w:bCs/>
          <w:lang w:val="en-AU"/>
        </w:rPr>
        <w:t>create new value from existing services</w:t>
      </w:r>
      <w:r w:rsidRPr="00735B8D">
        <w:rPr>
          <w:lang w:val="en-AU"/>
        </w:rPr>
        <w:t xml:space="preserve"> (composition) is essential in SOC because organizations have no choice but to deal with external services (e.g., composing an airline reservation with an insurance provider).</w:t>
      </w:r>
    </w:p>
    <w:p w14:paraId="2DA2B144" w14:textId="77777777" w:rsidR="00735B8D" w:rsidRPr="00735B8D" w:rsidRDefault="00735B8D" w:rsidP="00735B8D">
      <w:pPr>
        <w:numPr>
          <w:ilvl w:val="0"/>
          <w:numId w:val="6"/>
        </w:numPr>
        <w:rPr>
          <w:lang w:val="en-AU"/>
        </w:rPr>
      </w:pPr>
      <w:r w:rsidRPr="00735B8D">
        <w:rPr>
          <w:b/>
          <w:bCs/>
          <w:lang w:val="en-AU"/>
        </w:rPr>
        <w:t>Open Environment Difficulties:</w:t>
      </w:r>
      <w:r w:rsidRPr="00735B8D">
        <w:rPr>
          <w:lang w:val="en-AU"/>
        </w:rPr>
        <w:t xml:space="preserve"> Traditional transaction processing (TP) monitors fail in open environments (like the Web) because they </w:t>
      </w:r>
      <w:r w:rsidRPr="00735B8D">
        <w:rPr>
          <w:b/>
          <w:bCs/>
          <w:lang w:val="en-AU"/>
        </w:rPr>
        <w:t xml:space="preserve">cannot control the user or external </w:t>
      </w:r>
      <w:r w:rsidRPr="00735B8D">
        <w:rPr>
          <w:b/>
          <w:bCs/>
          <w:lang w:val="en-AU"/>
        </w:rPr>
        <w:lastRenderedPageBreak/>
        <w:t>components</w:t>
      </w:r>
      <w:r w:rsidRPr="00735B8D">
        <w:rPr>
          <w:lang w:val="en-AU"/>
        </w:rPr>
        <w:t xml:space="preserve"> to ensure a consistent state (e.g., what happens if a network connection drops mid-order).</w:t>
      </w:r>
    </w:p>
    <w:p w14:paraId="55774BB4" w14:textId="77777777" w:rsidR="00735B8D" w:rsidRPr="00735B8D" w:rsidRDefault="00735B8D" w:rsidP="00735B8D">
      <w:pPr>
        <w:numPr>
          <w:ilvl w:val="0"/>
          <w:numId w:val="6"/>
        </w:numPr>
        <w:rPr>
          <w:lang w:val="en-AU"/>
        </w:rPr>
      </w:pPr>
      <w:r w:rsidRPr="00735B8D">
        <w:rPr>
          <w:b/>
          <w:bCs/>
          <w:lang w:val="en-AU"/>
        </w:rPr>
        <w:t>Emerging Standards Gap:</w:t>
      </w:r>
      <w:r w:rsidRPr="00735B8D">
        <w:rPr>
          <w:lang w:val="en-AU"/>
        </w:rPr>
        <w:t xml:space="preserve"> Current Web service specifications often </w:t>
      </w:r>
      <w:r w:rsidRPr="00735B8D">
        <w:rPr>
          <w:b/>
          <w:bCs/>
          <w:lang w:val="en-AU"/>
        </w:rPr>
        <w:t>omit crucial elements</w:t>
      </w:r>
      <w:r w:rsidRPr="00735B8D">
        <w:rPr>
          <w:lang w:val="en-AU"/>
        </w:rPr>
        <w:t xml:space="preserve"> like a standardized transaction model, which could lead to complex, ad hoc interoperability issues.</w:t>
      </w:r>
    </w:p>
    <w:p w14:paraId="5CA0159A" w14:textId="77777777" w:rsidR="00735B8D" w:rsidRPr="00735B8D" w:rsidRDefault="00735B8D" w:rsidP="00735B8D">
      <w:pPr>
        <w:numPr>
          <w:ilvl w:val="0"/>
          <w:numId w:val="6"/>
        </w:numPr>
        <w:rPr>
          <w:lang w:val="en-AU"/>
        </w:rPr>
      </w:pPr>
      <w:r w:rsidRPr="00735B8D">
        <w:rPr>
          <w:b/>
          <w:bCs/>
          <w:lang w:val="en-AU"/>
        </w:rPr>
        <w:t>Future Focus:</w:t>
      </w:r>
      <w:r w:rsidRPr="00735B8D">
        <w:rPr>
          <w:lang w:val="en-AU"/>
        </w:rPr>
        <w:t xml:space="preserve"> The next generation of the Web requires </w:t>
      </w:r>
      <w:r w:rsidRPr="00735B8D">
        <w:rPr>
          <w:b/>
          <w:bCs/>
          <w:lang w:val="en-AU"/>
        </w:rPr>
        <w:t>cooperative services, systemic trust, and semantic understanding</w:t>
      </w:r>
      <w:r w:rsidRPr="00735B8D">
        <w:rPr>
          <w:lang w:val="en-AU"/>
        </w:rPr>
        <w:t>. This necessitates further research into reputation networks and formalizing SOC principles.</w:t>
      </w:r>
    </w:p>
    <w:p w14:paraId="691B9865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0B0"/>
    <w:multiLevelType w:val="multilevel"/>
    <w:tmpl w:val="E2B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3996"/>
    <w:multiLevelType w:val="multilevel"/>
    <w:tmpl w:val="E2B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50CDC"/>
    <w:multiLevelType w:val="multilevel"/>
    <w:tmpl w:val="134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00B9"/>
    <w:multiLevelType w:val="multilevel"/>
    <w:tmpl w:val="D47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6918"/>
    <w:multiLevelType w:val="multilevel"/>
    <w:tmpl w:val="1D9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F1853"/>
    <w:multiLevelType w:val="multilevel"/>
    <w:tmpl w:val="B09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18748">
    <w:abstractNumId w:val="4"/>
  </w:num>
  <w:num w:numId="2" w16cid:durableId="1963613875">
    <w:abstractNumId w:val="0"/>
  </w:num>
  <w:num w:numId="3" w16cid:durableId="1388410708">
    <w:abstractNumId w:val="3"/>
  </w:num>
  <w:num w:numId="4" w16cid:durableId="1893151149">
    <w:abstractNumId w:val="5"/>
  </w:num>
  <w:num w:numId="5" w16cid:durableId="751271015">
    <w:abstractNumId w:val="1"/>
  </w:num>
  <w:num w:numId="6" w16cid:durableId="438448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66"/>
    <w:rsid w:val="0009649C"/>
    <w:rsid w:val="003B021F"/>
    <w:rsid w:val="006A0AAB"/>
    <w:rsid w:val="00735B8D"/>
    <w:rsid w:val="00AF0D94"/>
    <w:rsid w:val="00B1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F04F0-E912-42EB-A7E9-56CB5DF2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6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6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6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741</Words>
  <Characters>4227</Characters>
  <Application>Microsoft Office Word</Application>
  <DocSecurity>0</DocSecurity>
  <Lines>35</Lines>
  <Paragraphs>9</Paragraphs>
  <ScaleCrop>false</ScaleCrop>
  <Company>Department of Education and Training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9</cp:revision>
  <dcterms:created xsi:type="dcterms:W3CDTF">2025-11-09T09:35:00Z</dcterms:created>
  <dcterms:modified xsi:type="dcterms:W3CDTF">2025-11-09T09:35:00Z</dcterms:modified>
</cp:coreProperties>
</file>