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288F" w14:textId="77777777" w:rsidR="00E34A57" w:rsidRPr="00E34A57" w:rsidRDefault="00E34A57" w:rsidP="00E34A57">
      <w:pPr>
        <w:rPr>
          <w:b/>
          <w:bCs/>
          <w:lang w:val="en-AU"/>
        </w:rPr>
      </w:pPr>
      <w:r w:rsidRPr="00E34A57">
        <w:rPr>
          <w:rFonts w:ascii="Segoe UI Emoji" w:hAnsi="Segoe UI Emoji" w:cs="Segoe UI Emoji"/>
          <w:b/>
          <w:bCs/>
          <w:lang w:val="en-AU"/>
        </w:rPr>
        <w:t>🏗️</w:t>
      </w:r>
      <w:r w:rsidRPr="00E34A57">
        <w:rPr>
          <w:b/>
          <w:bCs/>
          <w:lang w:val="en-AU"/>
        </w:rPr>
        <w:t xml:space="preserve"> What Is Software Architecture?</w:t>
      </w:r>
    </w:p>
    <w:p w14:paraId="058AC4ED" w14:textId="77777777" w:rsidR="00E34A57" w:rsidRPr="00E34A57" w:rsidRDefault="00E34A57" w:rsidP="00E34A57">
      <w:pPr>
        <w:rPr>
          <w:lang w:val="en-AU"/>
        </w:rPr>
      </w:pPr>
      <w:r w:rsidRPr="00E34A57">
        <w:rPr>
          <w:lang w:val="en-AU"/>
        </w:rPr>
        <w:t xml:space="preserve">Software architecture is the </w:t>
      </w:r>
      <w:r w:rsidRPr="00E34A57">
        <w:rPr>
          <w:b/>
          <w:bCs/>
          <w:lang w:val="en-AU"/>
        </w:rPr>
        <w:t>set of structures needed to reason about the system</w:t>
      </w:r>
      <w:r w:rsidRPr="00E34A57">
        <w:rPr>
          <w:lang w:val="en-AU"/>
        </w:rPr>
        <w:t xml:space="preserve">. These structures comprise </w:t>
      </w:r>
      <w:r w:rsidRPr="00E34A57">
        <w:rPr>
          <w:b/>
          <w:bCs/>
          <w:lang w:val="en-AU"/>
        </w:rPr>
        <w:t>software elements</w:t>
      </w:r>
      <w:r w:rsidRPr="00E34A57">
        <w:rPr>
          <w:lang w:val="en-AU"/>
        </w:rPr>
        <w:t xml:space="preserve">, </w:t>
      </w:r>
      <w:r w:rsidRPr="00E34A57">
        <w:rPr>
          <w:b/>
          <w:bCs/>
          <w:lang w:val="en-AU"/>
        </w:rPr>
        <w:t>relations among them</w:t>
      </w:r>
      <w:r w:rsidRPr="00E34A57">
        <w:rPr>
          <w:lang w:val="en-AU"/>
        </w:rPr>
        <w:t xml:space="preserve">, and </w:t>
      </w:r>
      <w:r w:rsidRPr="00E34A57">
        <w:rPr>
          <w:b/>
          <w:bCs/>
          <w:lang w:val="en-AU"/>
        </w:rPr>
        <w:t>properties of both</w:t>
      </w:r>
      <w:r w:rsidRPr="00E34A57">
        <w:rPr>
          <w:lang w:val="en-AU"/>
        </w:rPr>
        <w:t xml:space="preserve">. It serves as a </w:t>
      </w:r>
      <w:r w:rsidRPr="00E34A57">
        <w:rPr>
          <w:b/>
          <w:bCs/>
          <w:lang w:val="en-AU"/>
        </w:rPr>
        <w:t>bridge</w:t>
      </w:r>
      <w:r w:rsidRPr="00E34A57">
        <w:rPr>
          <w:lang w:val="en-AU"/>
        </w:rPr>
        <w:t xml:space="preserve"> between an organization's abstract business goals and the concrete resulting system.</w:t>
      </w:r>
    </w:p>
    <w:p w14:paraId="37B17CCF" w14:textId="77777777" w:rsidR="00E34A57" w:rsidRPr="00E34A57" w:rsidRDefault="00E34A57" w:rsidP="00E34A57">
      <w:pPr>
        <w:rPr>
          <w:lang w:val="en-AU"/>
        </w:rPr>
      </w:pPr>
      <w:r w:rsidRPr="00E34A57">
        <w:rPr>
          <w:lang w:val="en-AU"/>
        </w:rPr>
        <w:pict w14:anchorId="1AD1DA39">
          <v:rect id="_x0000_i1043" style="width:0;height:1.5pt" o:hralign="center" o:hrstd="t" o:hr="t" fillcolor="#a0a0a0" stroked="f"/>
        </w:pict>
      </w:r>
    </w:p>
    <w:p w14:paraId="2F0DDA55" w14:textId="77777777" w:rsidR="00E34A57" w:rsidRPr="00E34A57" w:rsidRDefault="00E34A57" w:rsidP="00E34A57">
      <w:pPr>
        <w:rPr>
          <w:b/>
          <w:bCs/>
          <w:lang w:val="en-AU"/>
        </w:rPr>
      </w:pPr>
      <w:r w:rsidRPr="00E34A57">
        <w:rPr>
          <w:b/>
          <w:bCs/>
          <w:lang w:val="en-AU"/>
        </w:rPr>
        <w:t>1. Core Principles of Software Architecture</w:t>
      </w:r>
    </w:p>
    <w:p w14:paraId="417DAD25" w14:textId="77777777" w:rsidR="00E34A57" w:rsidRPr="00E34A57" w:rsidRDefault="00E34A57" w:rsidP="00E34A57">
      <w:pPr>
        <w:numPr>
          <w:ilvl w:val="0"/>
          <w:numId w:val="1"/>
        </w:numPr>
        <w:rPr>
          <w:lang w:val="en-AU"/>
        </w:rPr>
      </w:pPr>
      <w:r w:rsidRPr="00E34A57">
        <w:rPr>
          <w:b/>
          <w:bCs/>
          <w:lang w:val="en-AU"/>
        </w:rPr>
        <w:t>Reasoning-Enabling Structures:</w:t>
      </w:r>
      <w:r w:rsidRPr="00E34A57">
        <w:rPr>
          <w:lang w:val="en-AU"/>
        </w:rPr>
        <w:t xml:space="preserve"> Architecture is fundamentally about structures—sets of elements held together by a relation—that support </w:t>
      </w:r>
      <w:r w:rsidRPr="00E34A57">
        <w:rPr>
          <w:b/>
          <w:bCs/>
          <w:lang w:val="en-AU"/>
        </w:rPr>
        <w:t>reasoning</w:t>
      </w:r>
      <w:r w:rsidRPr="00E34A57">
        <w:rPr>
          <w:lang w:val="en-AU"/>
        </w:rPr>
        <w:t xml:space="preserve"> about the system's important </w:t>
      </w:r>
      <w:r w:rsidRPr="00E34A57">
        <w:rPr>
          <w:b/>
          <w:bCs/>
          <w:lang w:val="en-AU"/>
        </w:rPr>
        <w:t>quality attributes</w:t>
      </w:r>
      <w:r w:rsidRPr="00E34A57">
        <w:rPr>
          <w:lang w:val="en-AU"/>
        </w:rPr>
        <w:t xml:space="preserve"> (e.g., performance, modifiability, availability, security) and functionality.</w:t>
      </w:r>
    </w:p>
    <w:p w14:paraId="0D683C1C" w14:textId="77777777" w:rsidR="00E34A57" w:rsidRPr="00E34A57" w:rsidRDefault="00E34A57" w:rsidP="00E34A57">
      <w:pPr>
        <w:numPr>
          <w:ilvl w:val="0"/>
          <w:numId w:val="1"/>
        </w:numPr>
        <w:rPr>
          <w:lang w:val="en-AU"/>
        </w:rPr>
      </w:pPr>
      <w:r w:rsidRPr="00E34A57">
        <w:rPr>
          <w:b/>
          <w:bCs/>
          <w:lang w:val="en-AU"/>
        </w:rPr>
        <w:t>Abstraction:</w:t>
      </w:r>
      <w:r w:rsidRPr="00E34A57">
        <w:rPr>
          <w:lang w:val="en-AU"/>
        </w:rPr>
        <w:t xml:space="preserve"> Architecture is an </w:t>
      </w:r>
      <w:r w:rsidRPr="00E34A57">
        <w:rPr>
          <w:b/>
          <w:bCs/>
          <w:lang w:val="en-AU"/>
        </w:rPr>
        <w:t>abstraction</w:t>
      </w:r>
      <w:r w:rsidRPr="00E34A57">
        <w:rPr>
          <w:lang w:val="en-AU"/>
        </w:rPr>
        <w:t xml:space="preserve"> that intentionally </w:t>
      </w:r>
      <w:r w:rsidRPr="00E34A57">
        <w:rPr>
          <w:b/>
          <w:bCs/>
          <w:lang w:val="en-AU"/>
        </w:rPr>
        <w:t>omits</w:t>
      </w:r>
      <w:r w:rsidRPr="00E34A57">
        <w:rPr>
          <w:lang w:val="en-AU"/>
        </w:rPr>
        <w:t xml:space="preserve"> internal implementation details (private parts) and focuses only on the </w:t>
      </w:r>
      <w:r w:rsidRPr="00E34A57">
        <w:rPr>
          <w:b/>
          <w:bCs/>
          <w:lang w:val="en-AU"/>
        </w:rPr>
        <w:t>public interfaces</w:t>
      </w:r>
      <w:r w:rsidRPr="00E34A57">
        <w:rPr>
          <w:lang w:val="en-AU"/>
        </w:rPr>
        <w:t xml:space="preserve"> and interactions between elements. This is essential for taming complexity.</w:t>
      </w:r>
    </w:p>
    <w:p w14:paraId="72D6C593" w14:textId="77777777" w:rsidR="00E34A57" w:rsidRPr="00E34A57" w:rsidRDefault="00E34A57" w:rsidP="00E34A57">
      <w:pPr>
        <w:numPr>
          <w:ilvl w:val="0"/>
          <w:numId w:val="1"/>
        </w:numPr>
        <w:rPr>
          <w:lang w:val="en-AU"/>
        </w:rPr>
      </w:pPr>
      <w:r w:rsidRPr="00E34A57">
        <w:rPr>
          <w:b/>
          <w:bCs/>
          <w:lang w:val="en-AU"/>
        </w:rPr>
        <w:t>Design, but not all Design:</w:t>
      </w:r>
      <w:r w:rsidRPr="00E34A57">
        <w:rPr>
          <w:lang w:val="en-AU"/>
        </w:rPr>
        <w:t xml:space="preserve"> Architecture is a form of design, but many design decisions (e.g., specific data structures or minor implementation details) are left unbound by the architecture.</w:t>
      </w:r>
    </w:p>
    <w:p w14:paraId="34669C94" w14:textId="77777777" w:rsidR="00E34A57" w:rsidRPr="00E34A57" w:rsidRDefault="00E34A57" w:rsidP="00E34A57">
      <w:pPr>
        <w:numPr>
          <w:ilvl w:val="0"/>
          <w:numId w:val="1"/>
        </w:numPr>
        <w:rPr>
          <w:lang w:val="en-AU"/>
        </w:rPr>
      </w:pPr>
      <w:r w:rsidRPr="00E34A57">
        <w:rPr>
          <w:b/>
          <w:bCs/>
          <w:lang w:val="en-AU"/>
        </w:rPr>
        <w:t>Ubiquitous but Varied:</w:t>
      </w:r>
      <w:r w:rsidRPr="00E34A57">
        <w:rPr>
          <w:lang w:val="en-AU"/>
        </w:rPr>
        <w:t xml:space="preserve"> Every software system has an architecture, but not all architectures are </w:t>
      </w:r>
      <w:r w:rsidRPr="00E34A57">
        <w:rPr>
          <w:b/>
          <w:bCs/>
          <w:lang w:val="en-AU"/>
        </w:rPr>
        <w:t>good</w:t>
      </w:r>
      <w:r w:rsidRPr="00E34A57">
        <w:rPr>
          <w:lang w:val="en-AU"/>
        </w:rPr>
        <w:t>; fitness is judged solely by the ability to achieve specific stated goals.</w:t>
      </w:r>
    </w:p>
    <w:p w14:paraId="5F919D20" w14:textId="77777777" w:rsidR="00E34A57" w:rsidRPr="00E34A57" w:rsidRDefault="00E34A57" w:rsidP="00E34A57">
      <w:pPr>
        <w:rPr>
          <w:lang w:val="en-AU"/>
        </w:rPr>
      </w:pPr>
      <w:r w:rsidRPr="00E34A57">
        <w:rPr>
          <w:lang w:val="en-AU"/>
        </w:rPr>
        <w:pict w14:anchorId="7FAD7054">
          <v:rect id="_x0000_i1044" style="width:0;height:1.5pt" o:hralign="center" o:hrstd="t" o:hr="t" fillcolor="#a0a0a0" stroked="f"/>
        </w:pict>
      </w:r>
    </w:p>
    <w:p w14:paraId="7045B9C7" w14:textId="77777777" w:rsidR="00E34A57" w:rsidRPr="00E34A57" w:rsidRDefault="00E34A57" w:rsidP="00E34A57">
      <w:pPr>
        <w:rPr>
          <w:b/>
          <w:bCs/>
          <w:lang w:val="en-AU"/>
        </w:rPr>
      </w:pPr>
      <w:r w:rsidRPr="00E34A57">
        <w:rPr>
          <w:b/>
          <w:bCs/>
          <w:lang w:val="en-AU"/>
        </w:rPr>
        <w:t>2. Three Categories of Architectural Structures</w:t>
      </w:r>
    </w:p>
    <w:p w14:paraId="3DF4E960" w14:textId="77777777" w:rsidR="00E34A57" w:rsidRPr="00E34A57" w:rsidRDefault="00E34A57" w:rsidP="00E34A57">
      <w:pPr>
        <w:rPr>
          <w:lang w:val="en-AU"/>
        </w:rPr>
      </w:pPr>
      <w:r w:rsidRPr="00E34A57">
        <w:rPr>
          <w:lang w:val="en-AU"/>
        </w:rPr>
        <w:t>Architectural structures are classified based on the nature of their elements and the type of reasoning they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542"/>
        <w:gridCol w:w="2232"/>
        <w:gridCol w:w="2944"/>
      </w:tblGrid>
      <w:tr w:rsidR="00E34A57" w:rsidRPr="00E34A57" w14:paraId="5812F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9D8DF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lang w:val="en-AU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9F1CA6A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lang w:val="en-AU"/>
              </w:rPr>
              <w:t>Element Type</w:t>
            </w:r>
          </w:p>
        </w:tc>
        <w:tc>
          <w:tcPr>
            <w:tcW w:w="0" w:type="auto"/>
            <w:vAlign w:val="center"/>
            <w:hideMark/>
          </w:tcPr>
          <w:p w14:paraId="5BEF1175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lang w:val="en-AU"/>
              </w:rPr>
              <w:t>Focus / Reasoning Supported</w:t>
            </w:r>
          </w:p>
        </w:tc>
        <w:tc>
          <w:tcPr>
            <w:tcW w:w="0" w:type="auto"/>
            <w:vAlign w:val="center"/>
            <w:hideMark/>
          </w:tcPr>
          <w:p w14:paraId="7D7DA43F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lang w:val="en-AU"/>
              </w:rPr>
              <w:t>Key Structure Examples</w:t>
            </w:r>
          </w:p>
        </w:tc>
      </w:tr>
      <w:tr w:rsidR="00E34A57" w:rsidRPr="00E34A57" w14:paraId="3483C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7889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Module Structures</w:t>
            </w:r>
            <w:r w:rsidRPr="00E34A57">
              <w:rPr>
                <w:lang w:val="en-AU"/>
              </w:rPr>
              <w:t xml:space="preserve"> (Static)</w:t>
            </w:r>
          </w:p>
        </w:tc>
        <w:tc>
          <w:tcPr>
            <w:tcW w:w="0" w:type="auto"/>
            <w:vAlign w:val="center"/>
            <w:hideMark/>
          </w:tcPr>
          <w:p w14:paraId="3F5410C3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Modules</w:t>
            </w:r>
            <w:r w:rsidRPr="00E34A57">
              <w:rPr>
                <w:lang w:val="en-AU"/>
              </w:rPr>
              <w:t xml:space="preserve"> (Units of implementation: classes, packages, layers).</w:t>
            </w:r>
          </w:p>
        </w:tc>
        <w:tc>
          <w:tcPr>
            <w:tcW w:w="0" w:type="auto"/>
            <w:vAlign w:val="center"/>
            <w:hideMark/>
          </w:tcPr>
          <w:p w14:paraId="1713DF63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Static partitioning</w:t>
            </w:r>
            <w:r w:rsidRPr="00E34A57">
              <w:rPr>
                <w:lang w:val="en-AU"/>
              </w:rPr>
              <w:t xml:space="preserve"> of the system; primary tool for reasoning about </w:t>
            </w:r>
            <w:r w:rsidRPr="00E34A57">
              <w:rPr>
                <w:b/>
                <w:bCs/>
                <w:lang w:val="en-AU"/>
              </w:rPr>
              <w:t>modifiability</w:t>
            </w:r>
            <w:r w:rsidRPr="00E34A57">
              <w:rPr>
                <w:lang w:val="en-AU"/>
              </w:rPr>
              <w:t xml:space="preserve"> and project organization.</w:t>
            </w:r>
          </w:p>
        </w:tc>
        <w:tc>
          <w:tcPr>
            <w:tcW w:w="0" w:type="auto"/>
            <w:vAlign w:val="center"/>
            <w:hideMark/>
          </w:tcPr>
          <w:p w14:paraId="706D8492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Decomposition</w:t>
            </w:r>
            <w:r w:rsidRPr="00E34A57">
              <w:rPr>
                <w:lang w:val="en-AU"/>
              </w:rPr>
              <w:t xml:space="preserve"> ("is-a-submodule-of"), </w:t>
            </w:r>
            <w:r w:rsidRPr="00E34A57">
              <w:rPr>
                <w:b/>
                <w:bCs/>
                <w:lang w:val="en-AU"/>
              </w:rPr>
              <w:t>Uses</w:t>
            </w:r>
            <w:r w:rsidRPr="00E34A57">
              <w:rPr>
                <w:lang w:val="en-AU"/>
              </w:rPr>
              <w:t xml:space="preserve"> (dependency), </w:t>
            </w:r>
            <w:r w:rsidRPr="00E34A57">
              <w:rPr>
                <w:b/>
                <w:bCs/>
                <w:lang w:val="en-AU"/>
              </w:rPr>
              <w:t>Layer</w:t>
            </w:r>
            <w:r w:rsidRPr="00E34A57">
              <w:rPr>
                <w:lang w:val="en-AU"/>
              </w:rPr>
              <w:t xml:space="preserve"> (managed usage), </w:t>
            </w:r>
            <w:r w:rsidRPr="00E34A57">
              <w:rPr>
                <w:b/>
                <w:bCs/>
                <w:lang w:val="en-AU"/>
              </w:rPr>
              <w:t>Class/Generalization</w:t>
            </w:r>
            <w:r w:rsidRPr="00E34A57">
              <w:rPr>
                <w:lang w:val="en-AU"/>
              </w:rPr>
              <w:t xml:space="preserve"> (inheritance), </w:t>
            </w:r>
            <w:r w:rsidRPr="00E34A57">
              <w:rPr>
                <w:b/>
                <w:bCs/>
                <w:lang w:val="en-AU"/>
              </w:rPr>
              <w:t>Data Model</w:t>
            </w:r>
            <w:r w:rsidRPr="00E34A57">
              <w:rPr>
                <w:lang w:val="en-AU"/>
              </w:rPr>
              <w:t>.</w:t>
            </w:r>
          </w:p>
        </w:tc>
      </w:tr>
      <w:tr w:rsidR="00E34A57" w:rsidRPr="00E34A57" w14:paraId="36749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D027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Component-and-Connector (C&amp;C) Structures</w:t>
            </w:r>
            <w:r w:rsidRPr="00E34A57">
              <w:rPr>
                <w:lang w:val="en-AU"/>
              </w:rPr>
              <w:t xml:space="preserve"> (Dynamic)</w:t>
            </w:r>
          </w:p>
        </w:tc>
        <w:tc>
          <w:tcPr>
            <w:tcW w:w="0" w:type="auto"/>
            <w:vAlign w:val="center"/>
            <w:hideMark/>
          </w:tcPr>
          <w:p w14:paraId="50E23C63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Components</w:t>
            </w:r>
            <w:r w:rsidRPr="00E34A57">
              <w:rPr>
                <w:lang w:val="en-AU"/>
              </w:rPr>
              <w:t xml:space="preserve"> (Principal units of computation: services, clients, servers, filters) and </w:t>
            </w:r>
            <w:r w:rsidRPr="00E34A57">
              <w:rPr>
                <w:b/>
                <w:bCs/>
                <w:lang w:val="en-AU"/>
              </w:rPr>
              <w:t>Connectors</w:t>
            </w:r>
            <w:r w:rsidRPr="00E34A57">
              <w:rPr>
                <w:lang w:val="en-AU"/>
              </w:rPr>
              <w:t xml:space="preserve"> (Communication vehicles: calls, messages, pipes).</w:t>
            </w:r>
          </w:p>
        </w:tc>
        <w:tc>
          <w:tcPr>
            <w:tcW w:w="0" w:type="auto"/>
            <w:vAlign w:val="center"/>
            <w:hideMark/>
          </w:tcPr>
          <w:p w14:paraId="1233821A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Runtime behavior</w:t>
            </w:r>
            <w:r w:rsidRPr="00E34A57">
              <w:rPr>
                <w:lang w:val="en-AU"/>
              </w:rPr>
              <w:t xml:space="preserve"> and interaction; crucial for reasoning about </w:t>
            </w:r>
            <w:r w:rsidRPr="00E34A57">
              <w:rPr>
                <w:b/>
                <w:bCs/>
                <w:lang w:val="en-AU"/>
              </w:rPr>
              <w:t>performance, security, and availability</w:t>
            </w:r>
            <w:r w:rsidRPr="00E34A57">
              <w:rPr>
                <w:lang w:val="en-A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12D4A5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Service, Concurrency</w:t>
            </w:r>
            <w:r w:rsidRPr="00E34A57">
              <w:rPr>
                <w:lang w:val="en-AU"/>
              </w:rPr>
              <w:t xml:space="preserve"> (logical threads).</w:t>
            </w:r>
          </w:p>
        </w:tc>
      </w:tr>
      <w:tr w:rsidR="00E34A57" w:rsidRPr="00E34A57" w14:paraId="4182A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BE7A8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Allocation Structures</w:t>
            </w:r>
          </w:p>
        </w:tc>
        <w:tc>
          <w:tcPr>
            <w:tcW w:w="0" w:type="auto"/>
            <w:vAlign w:val="center"/>
            <w:hideMark/>
          </w:tcPr>
          <w:p w14:paraId="10B2EEE0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Software elements</w:t>
            </w:r>
            <w:r w:rsidRPr="00E34A57">
              <w:rPr>
                <w:lang w:val="en-AU"/>
              </w:rPr>
              <w:t xml:space="preserve"> mapped onto </w:t>
            </w:r>
            <w:r w:rsidRPr="00E34A57">
              <w:rPr>
                <w:b/>
                <w:bCs/>
                <w:lang w:val="en-AU"/>
              </w:rPr>
              <w:lastRenderedPageBreak/>
              <w:t>Nonsoftware structures</w:t>
            </w:r>
            <w:r w:rsidRPr="00E34A57">
              <w:rPr>
                <w:lang w:val="en-AU"/>
              </w:rPr>
              <w:t xml:space="preserve"> (hardware, teams, file systems).</w:t>
            </w:r>
          </w:p>
        </w:tc>
        <w:tc>
          <w:tcPr>
            <w:tcW w:w="0" w:type="auto"/>
            <w:vAlign w:val="center"/>
            <w:hideMark/>
          </w:tcPr>
          <w:p w14:paraId="3B82CEDB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lastRenderedPageBreak/>
              <w:t>Mapping</w:t>
            </w:r>
            <w:r w:rsidRPr="00E34A57">
              <w:rPr>
                <w:lang w:val="en-AU"/>
              </w:rPr>
              <w:t xml:space="preserve"> software to its environment; </w:t>
            </w:r>
            <w:r w:rsidRPr="00E34A57">
              <w:rPr>
                <w:lang w:val="en-AU"/>
              </w:rPr>
              <w:lastRenderedPageBreak/>
              <w:t xml:space="preserve">crucial for reasoning about </w:t>
            </w:r>
            <w:r w:rsidRPr="00E34A57">
              <w:rPr>
                <w:b/>
                <w:bCs/>
                <w:lang w:val="en-AU"/>
              </w:rPr>
              <w:t>deployability, performance, security, and development efficiency</w:t>
            </w:r>
            <w:r w:rsidRPr="00E34A57">
              <w:rPr>
                <w:lang w:val="en-A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468C57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lastRenderedPageBreak/>
              <w:t>Deployment</w:t>
            </w:r>
            <w:r w:rsidRPr="00E34A57">
              <w:rPr>
                <w:lang w:val="en-AU"/>
              </w:rPr>
              <w:t xml:space="preserve"> (to hardware), </w:t>
            </w:r>
            <w:r w:rsidRPr="00E34A57">
              <w:rPr>
                <w:b/>
                <w:bCs/>
                <w:lang w:val="en-AU"/>
              </w:rPr>
              <w:t>Implementation</w:t>
            </w:r>
            <w:r w:rsidRPr="00E34A57">
              <w:rPr>
                <w:lang w:val="en-AU"/>
              </w:rPr>
              <w:t xml:space="preserve"> (to file </w:t>
            </w:r>
            <w:r w:rsidRPr="00E34A57">
              <w:rPr>
                <w:lang w:val="en-AU"/>
              </w:rPr>
              <w:lastRenderedPageBreak/>
              <w:t xml:space="preserve">structure), </w:t>
            </w:r>
            <w:r w:rsidRPr="00E34A57">
              <w:rPr>
                <w:b/>
                <w:bCs/>
                <w:lang w:val="en-AU"/>
              </w:rPr>
              <w:t>Work Assignment</w:t>
            </w:r>
            <w:r w:rsidRPr="00E34A57">
              <w:rPr>
                <w:lang w:val="en-AU"/>
              </w:rPr>
              <w:t xml:space="preserve"> (to teams).</w:t>
            </w:r>
          </w:p>
        </w:tc>
      </w:tr>
    </w:tbl>
    <w:p w14:paraId="4BFAD7FF" w14:textId="77777777" w:rsidR="00E34A57" w:rsidRPr="00E34A57" w:rsidRDefault="00E34A57" w:rsidP="00E34A57">
      <w:pPr>
        <w:numPr>
          <w:ilvl w:val="0"/>
          <w:numId w:val="2"/>
        </w:numPr>
        <w:rPr>
          <w:lang w:val="en-AU"/>
        </w:rPr>
      </w:pPr>
      <w:r w:rsidRPr="00E34A57">
        <w:rPr>
          <w:b/>
          <w:bCs/>
          <w:lang w:val="en-AU"/>
        </w:rPr>
        <w:lastRenderedPageBreak/>
        <w:t>Interconnected:</w:t>
      </w:r>
      <w:r w:rsidRPr="00E34A57">
        <w:rPr>
          <w:lang w:val="en-AU"/>
        </w:rPr>
        <w:t xml:space="preserve"> These structures are </w:t>
      </w:r>
      <w:r w:rsidRPr="00E34A57">
        <w:rPr>
          <w:b/>
          <w:bCs/>
          <w:lang w:val="en-AU"/>
        </w:rPr>
        <w:t>not independent</w:t>
      </w:r>
      <w:r w:rsidRPr="00E34A57">
        <w:rPr>
          <w:lang w:val="en-AU"/>
        </w:rPr>
        <w:t>. Elements of one structure (e.g., a module) map to elements in another (e.g., several runtime components), typically in a many-to-many relationship.</w:t>
      </w:r>
    </w:p>
    <w:p w14:paraId="713D3032" w14:textId="77777777" w:rsidR="00E34A57" w:rsidRPr="00E34A57" w:rsidRDefault="00E34A57" w:rsidP="00E34A57">
      <w:pPr>
        <w:numPr>
          <w:ilvl w:val="0"/>
          <w:numId w:val="2"/>
        </w:numPr>
        <w:rPr>
          <w:lang w:val="en-AU"/>
        </w:rPr>
      </w:pPr>
      <w:r w:rsidRPr="00E34A57">
        <w:rPr>
          <w:b/>
          <w:bCs/>
          <w:lang w:val="en-AU"/>
        </w:rPr>
        <w:t>Leverage Points:</w:t>
      </w:r>
      <w:r w:rsidRPr="00E34A57">
        <w:rPr>
          <w:lang w:val="en-AU"/>
        </w:rPr>
        <w:t xml:space="preserve"> Each structure provides an </w:t>
      </w:r>
      <w:r w:rsidRPr="00E34A57">
        <w:rPr>
          <w:b/>
          <w:bCs/>
          <w:lang w:val="en-AU"/>
        </w:rPr>
        <w:t>engineering leverage point</w:t>
      </w:r>
      <w:r w:rsidRPr="00E34A57">
        <w:rPr>
          <w:lang w:val="en-AU"/>
        </w:rPr>
        <w:t xml:space="preserve"> to manipulate one or more quality attributes.</w:t>
      </w:r>
    </w:p>
    <w:p w14:paraId="536ED0D8" w14:textId="77777777" w:rsidR="00E34A57" w:rsidRPr="00E34A57" w:rsidRDefault="00E34A57" w:rsidP="00E34A57">
      <w:pPr>
        <w:rPr>
          <w:lang w:val="en-AU"/>
        </w:rPr>
      </w:pPr>
      <w:r w:rsidRPr="00E34A57">
        <w:rPr>
          <w:lang w:val="en-AU"/>
        </w:rPr>
        <w:pict w14:anchorId="3BBB4C7D">
          <v:rect id="_x0000_i1045" style="width:0;height:1.5pt" o:hralign="center" o:hrstd="t" o:hr="t" fillcolor="#a0a0a0" stroked="f"/>
        </w:pict>
      </w:r>
    </w:p>
    <w:p w14:paraId="5D4ED0D9" w14:textId="77777777" w:rsidR="00E34A57" w:rsidRPr="00E34A57" w:rsidRDefault="00E34A57" w:rsidP="00E34A57">
      <w:pPr>
        <w:rPr>
          <w:b/>
          <w:bCs/>
          <w:lang w:val="en-AU"/>
        </w:rPr>
      </w:pPr>
      <w:r w:rsidRPr="00E34A57">
        <w:rPr>
          <w:b/>
          <w:bCs/>
          <w:lang w:val="en-AU"/>
        </w:rPr>
        <w:t>3. Rules for a "Good" Architecture (Structural &amp; Process)</w:t>
      </w:r>
    </w:p>
    <w:p w14:paraId="33AF01A1" w14:textId="77777777" w:rsidR="00E34A57" w:rsidRPr="00E34A57" w:rsidRDefault="00E34A57" w:rsidP="00E34A57">
      <w:pPr>
        <w:rPr>
          <w:lang w:val="en-AU"/>
        </w:rPr>
      </w:pPr>
      <w:r w:rsidRPr="00E34A57">
        <w:rPr>
          <w:lang w:val="en-AU"/>
        </w:rPr>
        <w:t>While fitness is context-dependent, generally good architectures follow these guidelines: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7191"/>
      </w:tblGrid>
      <w:tr w:rsidR="00E34A57" w:rsidRPr="00E34A57" w14:paraId="0D3D8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E4D6F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lang w:val="en-AU"/>
              </w:rPr>
              <w:t>Recommendation Category</w:t>
            </w:r>
          </w:p>
        </w:tc>
        <w:tc>
          <w:tcPr>
            <w:tcW w:w="0" w:type="auto"/>
            <w:vAlign w:val="center"/>
            <w:hideMark/>
          </w:tcPr>
          <w:p w14:paraId="7A4D9441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lang w:val="en-AU"/>
              </w:rPr>
              <w:t>Key Rules of Thumb</w:t>
            </w:r>
          </w:p>
        </w:tc>
      </w:tr>
      <w:tr w:rsidR="00E34A57" w:rsidRPr="00E34A57" w14:paraId="7AF86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1358E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Process Recommendations</w:t>
            </w:r>
          </w:p>
        </w:tc>
        <w:tc>
          <w:tcPr>
            <w:tcW w:w="0" w:type="auto"/>
            <w:vAlign w:val="center"/>
            <w:hideMark/>
          </w:tcPr>
          <w:p w14:paraId="1F903971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lang w:val="en-AU"/>
              </w:rPr>
              <w:t xml:space="preserve">Architecture should be the product of a </w:t>
            </w:r>
            <w:r w:rsidRPr="00E34A57">
              <w:rPr>
                <w:b/>
                <w:bCs/>
                <w:lang w:val="en-AU"/>
              </w:rPr>
              <w:t>single architect or small team</w:t>
            </w:r>
            <w:r w:rsidRPr="00E34A57">
              <w:rPr>
                <w:lang w:val="en-AU"/>
              </w:rPr>
              <w:t xml:space="preserve"> to ensure conceptual integrity. It must be based on a </w:t>
            </w:r>
            <w:r w:rsidRPr="00E34A57">
              <w:rPr>
                <w:b/>
                <w:bCs/>
                <w:lang w:val="en-AU"/>
              </w:rPr>
              <w:t>prioritized list of well-specified quality attribute requirements</w:t>
            </w:r>
            <w:r w:rsidRPr="00E34A57">
              <w:rPr>
                <w:lang w:val="en-AU"/>
              </w:rPr>
              <w:t xml:space="preserve">. It should be </w:t>
            </w:r>
            <w:r w:rsidRPr="00E34A57">
              <w:rPr>
                <w:b/>
                <w:bCs/>
                <w:lang w:val="en-AU"/>
              </w:rPr>
              <w:t>documented using views</w:t>
            </w:r>
            <w:r w:rsidRPr="00E34A57">
              <w:rPr>
                <w:lang w:val="en-AU"/>
              </w:rPr>
              <w:t xml:space="preserve"> (representations of structures) addressing stakeholder concerns. It must be </w:t>
            </w:r>
            <w:r w:rsidRPr="00E34A57">
              <w:rPr>
                <w:b/>
                <w:bCs/>
                <w:lang w:val="en-AU"/>
              </w:rPr>
              <w:t>evaluated early</w:t>
            </w:r>
            <w:r w:rsidRPr="00E34A57">
              <w:rPr>
                <w:lang w:val="en-AU"/>
              </w:rPr>
              <w:t xml:space="preserve"> and lend itself to </w:t>
            </w:r>
            <w:r w:rsidRPr="00E34A57">
              <w:rPr>
                <w:b/>
                <w:bCs/>
                <w:lang w:val="en-AU"/>
              </w:rPr>
              <w:t>incremental implementation</w:t>
            </w:r>
            <w:r w:rsidRPr="00E34A57">
              <w:rPr>
                <w:lang w:val="en-AU"/>
              </w:rPr>
              <w:t>.</w:t>
            </w:r>
          </w:p>
        </w:tc>
      </w:tr>
      <w:tr w:rsidR="00E34A57" w:rsidRPr="00E34A57" w14:paraId="0F481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0B44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b/>
                <w:bCs/>
                <w:lang w:val="en-AU"/>
              </w:rPr>
              <w:t>Structural Recommendations</w:t>
            </w:r>
          </w:p>
        </w:tc>
        <w:tc>
          <w:tcPr>
            <w:tcW w:w="0" w:type="auto"/>
            <w:vAlign w:val="center"/>
            <w:hideMark/>
          </w:tcPr>
          <w:p w14:paraId="70ABF0F7" w14:textId="77777777" w:rsidR="00E34A57" w:rsidRPr="00E34A57" w:rsidRDefault="00E34A57" w:rsidP="00E34A57">
            <w:pPr>
              <w:rPr>
                <w:lang w:val="en-AU"/>
              </w:rPr>
            </w:pPr>
            <w:r w:rsidRPr="00E34A57">
              <w:rPr>
                <w:lang w:val="en-AU"/>
              </w:rPr>
              <w:t xml:space="preserve">Use </w:t>
            </w:r>
            <w:r w:rsidRPr="00E34A57">
              <w:rPr>
                <w:b/>
                <w:bCs/>
                <w:lang w:val="en-AU"/>
              </w:rPr>
              <w:t>information hiding</w:t>
            </w:r>
            <w:r w:rsidRPr="00E34A57">
              <w:rPr>
                <w:lang w:val="en-AU"/>
              </w:rPr>
              <w:t xml:space="preserve"> and </w:t>
            </w:r>
            <w:r w:rsidRPr="00E34A57">
              <w:rPr>
                <w:b/>
                <w:bCs/>
                <w:lang w:val="en-AU"/>
              </w:rPr>
              <w:t>separation of concerns</w:t>
            </w:r>
            <w:r w:rsidRPr="00E34A57">
              <w:rPr>
                <w:lang w:val="en-AU"/>
              </w:rPr>
              <w:t xml:space="preserve"> to assign functional responsibilities to modules, encapsulating things likely to change. Achieve quality attributes using </w:t>
            </w:r>
            <w:r w:rsidRPr="00E34A57">
              <w:rPr>
                <w:b/>
                <w:bCs/>
                <w:lang w:val="en-AU"/>
              </w:rPr>
              <w:t>well-known architectural patterns and tactics</w:t>
            </w:r>
            <w:r w:rsidRPr="00E34A57">
              <w:rPr>
                <w:lang w:val="en-AU"/>
              </w:rPr>
              <w:t xml:space="preserve">. </w:t>
            </w:r>
            <w:r w:rsidRPr="00E34A57">
              <w:rPr>
                <w:b/>
                <w:bCs/>
                <w:lang w:val="en-AU"/>
              </w:rPr>
              <w:t>Decouple</w:t>
            </w:r>
            <w:r w:rsidRPr="00E34A57">
              <w:rPr>
                <w:lang w:val="en-AU"/>
              </w:rPr>
              <w:t xml:space="preserve"> components (e.g., separate data producers from consumers). Use a </w:t>
            </w:r>
            <w:r w:rsidRPr="00E34A57">
              <w:rPr>
                <w:b/>
                <w:bCs/>
                <w:lang w:val="en-AU"/>
              </w:rPr>
              <w:t>small number of simple component interaction patterns</w:t>
            </w:r>
            <w:r w:rsidRPr="00E34A57">
              <w:rPr>
                <w:lang w:val="en-AU"/>
              </w:rPr>
              <w:t xml:space="preserve"> consistently. Avoid dependence on specific commercial product </w:t>
            </w:r>
            <w:r w:rsidRPr="00E34A57">
              <w:rPr>
                <w:b/>
                <w:bCs/>
                <w:lang w:val="en-AU"/>
              </w:rPr>
              <w:t>versions</w:t>
            </w:r>
            <w:r w:rsidRPr="00E34A57">
              <w:rPr>
                <w:lang w:val="en-AU"/>
              </w:rPr>
              <w:t>.</w:t>
            </w:r>
          </w:p>
        </w:tc>
      </w:tr>
    </w:tbl>
    <w:p w14:paraId="336A60CB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C6724"/>
    <w:multiLevelType w:val="multilevel"/>
    <w:tmpl w:val="48D2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F6D6D"/>
    <w:multiLevelType w:val="multilevel"/>
    <w:tmpl w:val="733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61329">
    <w:abstractNumId w:val="0"/>
  </w:num>
  <w:num w:numId="2" w16cid:durableId="905452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C95"/>
    <w:rsid w:val="000F6C95"/>
    <w:rsid w:val="003B021F"/>
    <w:rsid w:val="006A0AAB"/>
    <w:rsid w:val="00E34A57"/>
    <w:rsid w:val="00EC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1FD5F2-BAEF-4E22-9D77-55A7A234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C9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C9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C9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C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C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571</Words>
  <Characters>3255</Characters>
  <Application>Microsoft Office Word</Application>
  <DocSecurity>0</DocSecurity>
  <Lines>27</Lines>
  <Paragraphs>7</Paragraphs>
  <ScaleCrop>false</ScaleCrop>
  <Company>Department of Education and Training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NEWBEGIN</dc:creator>
  <cp:keywords/>
  <dc:description/>
  <cp:lastModifiedBy>NEWBEGIN James (NEW0013)</cp:lastModifiedBy>
  <cp:revision>2</cp:revision>
  <dcterms:created xsi:type="dcterms:W3CDTF">2025-11-09T09:54:00Z</dcterms:created>
  <dcterms:modified xsi:type="dcterms:W3CDTF">2025-11-09T09:54:00Z</dcterms:modified>
</cp:coreProperties>
</file>