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华润电力武隆杨柳坪风电项目</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重庆市武隆区</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100.0</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华润电力武隆杨柳坪风电项目</w:t>
      </w:r>
      <w:r w:rsidRPr="00D3669E">
        <w:rPr>
          <w:rFonts w:hint="eastAsia"/>
        </w:rPr>
        <w:t>周边有</w:t>
      </w:r>
      <w:r w:rsidRPr="00A55194">
        <w:rPr>
          <w:rFonts w:hint="eastAsia"/>
          <w:highlight w:val="green"/>
        </w:rPr>
        <w:t xml:space="preserve"/>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111.334294</w:t>
      </w:r>
      <w:r w:rsidRPr="00A56F82">
        <w:rPr>
          <w:rFonts w:hint="eastAsia"/>
        </w:rPr>
        <w:t>、北纬</w:t>
      </w:r>
      <w:r w:rsidRPr="00A55194">
        <w:rPr>
          <w:rFonts w:hint="eastAsia"/>
          <w:highlight w:val="green"/>
        </w:rPr>
        <w:t xml:space="preserve">23.132694</w:t>
      </w:r>
      <w:r w:rsidRPr="00A56F82">
        <w:rPr>
          <w:rFonts w:hint="eastAsia"/>
        </w:rPr>
        <w:t>之间，总区域共</w:t>
      </w:r>
      <w:r w:rsidRPr="00A55194">
        <w:rPr>
          <w:rFonts w:hint="eastAsia"/>
          <w:highlight w:val="green"/>
        </w:rPr>
        <w:t xml:space="preserve">50.02</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False</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