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120.0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I</w:t>
      </w:r>
      <w:r w:rsidRPr="0088071A">
        <w:rPr>
          <w:rFonts w:hint="eastAsia"/>
          <w:lang w:val="en-GB"/>
        </w:rPr>
        <w:t>等，工程规模为</w:t>
      </w:r>
      <w:r w:rsidR="008B7970" w:rsidRPr="00F16DA8">
        <w:rPr>
          <w:highlight w:val="green"/>
        </w:rPr>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1级</w:t>
      </w:r>
      <w:r w:rsidRPr="0088071A">
        <w:rPr>
          <w:rFonts w:hint="eastAsia"/>
          <w:lang w:val="en-GB"/>
        </w:rPr>
        <w:t>，结构安全等级为</w:t>
      </w:r>
      <w:r w:rsidR="008B7970" w:rsidRPr="00F16DA8">
        <w:rPr>
          <w:highlight w:val="green"/>
        </w:rPr>
        <w:t>1级</w:t>
      </w:r>
      <w:r w:rsidRPr="0088071A">
        <w:rPr>
          <w:rFonts w:hint="eastAsia"/>
          <w:lang w:val="en-GB"/>
        </w:rPr>
        <w:t>，洪水设计标准为</w:t>
      </w:r>
      <w:r w:rsidR="008B7970" w:rsidRPr="00F16DA8">
        <w:rPr>
          <w:highlight w:val="green"/>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3.0</w:t>
      </w:r>
      <w:r w:rsidRPr="0088071A">
        <w:rPr>
          <w:rFonts w:hint="eastAsia"/>
          <w:lang w:val="en-GB"/>
        </w:rPr>
        <w:t>MW</w:t>
      </w:r>
      <w:r w:rsidRPr="0088071A">
        <w:rPr>
          <w:rFonts w:hint="eastAsia"/>
          <w:lang w:val="en-GB"/>
        </w:rPr>
        <w:t>风电机组</w:t>
      </w:r>
      <w:r w:rsidR="00053297">
        <w:rPr>
          <w:highlight w:val="green"/>
        </w:rPr>
        <w:t xml:space="preserve">40</w:t>
      </w:r>
      <w:r w:rsidRPr="0088071A">
        <w:rPr>
          <w:rFonts w:hint="eastAsia"/>
          <w:lang w:val="en-GB"/>
        </w:rPr>
        <w:t>台，轮毂高度</w:t>
      </w:r>
      <w:r w:rsidR="00E4414F" w:rsidRPr="00F16DA8">
        <w:rPr>
          <w:highlight w:val="green"/>
        </w:rPr>
        <w:t>90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甲类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第二组</w:t>
      </w:r>
      <w:r w:rsidRPr="0088071A">
        <w:rPr>
          <w:rFonts w:hint="eastAsia"/>
          <w:lang w:val="en-GB"/>
        </w:rPr>
        <w:t>，设计基本地震加速度值为</w:t>
      </w:r>
      <w:r w:rsidR="00AC30C0" w:rsidRPr="0088071A">
        <w:t>0.02</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华润电力郁南100MW风电项目</w:t>
      </w:r>
      <w:r w:rsidRPr="00D3669E">
        <w:rPr>
          <w:rFonts w:hint="eastAsia"/>
        </w:rPr>
        <w:t>，</w:t>
      </w:r>
      <w:r w:rsidRPr="00D3669E">
        <w:t>位于</w:t>
      </w:r>
      <w:r>
        <w:rPr>
          <w:rFonts w:hint="eastAsia"/>
          <w:highlight w:val="green"/>
        </w:rPr>
        <w:t xml:space="preserve">云浮郁南</w:t>
      </w:r>
      <w:r w:rsidRPr="00A17732">
        <w:rPr>
          <w:highlight w:val="green"/>
        </w:rPr>
        <w:t>境内</w:t>
      </w:r>
      <w:r w:rsidRPr="00D3669E">
        <w:rPr>
          <w:rFonts w:hint="eastAsia"/>
        </w:rPr>
        <w:t>，</w:t>
      </w:r>
      <w:r w:rsidRPr="00D3669E">
        <w:t>为</w:t>
      </w:r>
      <w:r>
        <w:rPr>
          <w:rFonts w:hint="eastAsia"/>
          <w:highlight w:val="green"/>
        </w:rPr>
        <w:t xml:space="preserve">缓坡低山</w:t>
      </w:r>
      <w:r w:rsidRPr="00D3669E">
        <w:t>风电场</w:t>
      </w:r>
      <w:r w:rsidRPr="00D3669E">
        <w:rPr>
          <w:rFonts w:hint="eastAsia"/>
        </w:rPr>
        <w:t>，</w:t>
      </w:r>
      <w:r w:rsidRPr="00D3669E">
        <w:t>场址内海拔高程在</w:t>
      </w:r>
      <w:r>
        <w:rPr>
          <w:rFonts w:hint="eastAsia"/>
          <w:highlight w:val="green"/>
        </w:rPr>
        <w:t xml:space="preserve">588m～852m</w:t>
      </w:r>
      <w:r w:rsidRPr="00D3669E">
        <w:t>之间</w:t>
      </w:r>
      <w:r w:rsidRPr="00D3669E">
        <w:rPr>
          <w:rFonts w:hint="eastAsia"/>
        </w:rPr>
        <w:t>。项目地处东经</w:t>
      </w:r>
      <w:r>
        <w:rPr>
          <w:rFonts w:hint="eastAsia"/>
          <w:highlight w:val="green"/>
        </w:rPr>
        <w:t xml:space="preserve">111.334294</w:t>
      </w:r>
      <w:r w:rsidRPr="00D3669E">
        <w:rPr>
          <w:rFonts w:hint="eastAsia"/>
        </w:rPr>
        <w:t>、北纬</w:t>
      </w:r>
      <w:r>
        <w:rPr>
          <w:rFonts w:hint="eastAsia"/>
          <w:highlight w:val="green"/>
        </w:rPr>
        <w:t xml:space="preserve">23.132694</w:t>
      </w:r>
      <w:r w:rsidRPr="00D3669E">
        <w:rPr>
          <w:rFonts w:hint="eastAsia"/>
        </w:rPr>
        <w:t>之间，</w:t>
      </w:r>
      <w:proofErr w:type="gramStart"/>
      <w:r w:rsidRPr="00D3669E">
        <w:rPr>
          <w:rFonts w:hint="eastAsia"/>
        </w:rPr>
        <w:t>总区域共</w:t>
      </w:r>
      <w:proofErr w:type="gramEnd"/>
      <w:r>
        <w:rPr>
          <w:rFonts w:hint="eastAsia"/>
          <w:highlight w:val="green"/>
        </w:rPr>
        <w:t xml:space="preserve">20</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根据所收集的地质资料，云浮地区地处博白至梧州, 吴川至四会新华夏系构造断裂之间，云开大山的北东地区。自古生代以来，地壳运动使云开大山地区绝大部分隆起成陆，地壳变形构造形成了一系列北北东向构造断裂和近东西向复背斜褶皱构造。岩浆活动随着断裂构造活动而活动，沿着断裂构造空间入侵。前者构成了区内罗定至云浮为主的次一级新华夏断裂构造带和丘陵骨架、丘陵盆地的形成。后者构成了区内北西部、东部、东南部燕山期岩体的形成和中部、西南部沉积物发生广泛的混合岩化、花岗岩化、岩石不同程度的变质与蚀变作用。</w:t>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根据收集到的资料，山顶覆盖层较薄，由山顶向山底平缓地带覆盖层厚度逐渐加大。场区地层以第四系（Q4el+dl）残坡积土、燕山岩浆旋回第四期（γ 35 ）花岗岩组成。拟建场区内所揭露的地层岩性按由新到老的顺序描述如下： 一、第四系覆盖层(Q4el+dl) 残坡积土①：褐黄色，稍密，稍湿，主要由粉质粘土或碎石土等组成。本层厚度较薄，揭露其厚度约为 0.5m～1.5m，该层承载力特征值 fak=100kPa。 二、燕山岩浆旋回第四期（γ 35 ） 强风化花岗岩②：浅红色、灰白色，似斑状结构，块状构造，主要矿物由钾长石、斜长石、石英及少量黑云母等组成。结构大部分破坏，矿物成分显著变化，风化裂隙很发育，岩体破碎，用镐可挖，干钻不易钻进。属软质岩，岩体基本质量等级 V。揭露其最大厚度为 8m，该层承载力特征值 fak=500kPa。</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40</w:t>
      </w:r>
      <w:r w:rsidRPr="0088071A">
        <w:rPr>
          <w:rFonts w:hint="eastAsia"/>
          <w:lang w:val="en-GB"/>
        </w:rPr>
        <w:t>台单机容量为</w:t>
      </w:r>
      <w:r w:rsidR="00006C3E">
        <w:rPr>
          <w:rFonts w:hint="eastAsia"/>
          <w:highlight w:val="green"/>
        </w:rPr>
        <w:t xml:space="preserve">3.0</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40</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1257.29</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50291.6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12572.8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36806.4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24038.8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2019.2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2404.0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49.28</w:t>
            </w:r>
          </w:p>
        </w:tc>
        <w:tc>
          <w:tcPr>
            <w:tcW w:w="1257" w:type="pct"/>
            <w:shd w:val="clear" w:color="auto" w:fill="auto"/>
            <w:vAlign w:val="center"/>
            <w:hideMark/>
          </w:tcPr>
          <w:p w:rsidR="00025426" w:rsidRPr="0088071A" w:rsidRDefault="00025426" w:rsidP="00025426">
            <w:pPr>
              <w:pStyle w:val="aff0"/>
              <w:jc w:val="center"/>
            </w:pPr>
            <w:r w:rsidRPr="0088071A">
              <w:t xml:space="preserve">1971.2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12.32</w:t>
            </w:r>
          </w:p>
        </w:tc>
        <w:tc>
          <w:tcPr>
            <w:tcW w:w="1257" w:type="pct"/>
            <w:shd w:val="clear" w:color="auto" w:fill="auto"/>
            <w:vAlign w:val="center"/>
          </w:tcPr>
          <w:p w:rsidR="00025426" w:rsidRPr="0088071A" w:rsidRDefault="00025426" w:rsidP="00025426">
            <w:pPr>
              <w:pStyle w:val="aff0"/>
              <w:jc w:val="center"/>
            </w:pPr>
            <w:r w:rsidRPr="0088071A">
              <w:t xml:space="preserve">492.8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18.4</w:t>
            </w:r>
          </w:p>
        </w:tc>
        <w:tc>
          <w:tcPr>
            <w:tcW w:w="1257" w:type="pct"/>
            <w:shd w:val="clear" w:color="auto" w:fill="auto"/>
            <w:vAlign w:val="center"/>
          </w:tcPr>
          <w:p w:rsidR="00025426" w:rsidRPr="0088071A" w:rsidRDefault="00025426" w:rsidP="00025426">
            <w:pPr>
              <w:pStyle w:val="aff0"/>
              <w:jc w:val="center"/>
            </w:pPr>
            <w:r w:rsidRPr="0088071A">
              <w:t xml:space="preserve">736.0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2.5</w:t>
            </w:r>
          </w:p>
        </w:tc>
        <w:tc>
          <w:tcPr>
            <w:tcW w:w="1257" w:type="pct"/>
            <w:shd w:val="clear" w:color="auto" w:fill="auto"/>
            <w:vAlign w:val="center"/>
          </w:tcPr>
          <w:p w:rsidR="00025426" w:rsidRPr="0088071A" w:rsidRDefault="00025426" w:rsidP="00025426">
            <w:pPr>
              <w:pStyle w:val="aff0"/>
              <w:jc w:val="center"/>
            </w:pPr>
            <w:r w:rsidRPr="0088071A">
              <w:t>100.0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5.78</w:t>
            </w:r>
          </w:p>
        </w:tc>
        <w:tc>
          <w:tcPr>
            <w:tcW w:w="1257" w:type="pct"/>
            <w:shd w:val="clear" w:color="auto" w:fill="auto"/>
            <w:vAlign w:val="center"/>
          </w:tcPr>
          <w:p w:rsidR="00025426" w:rsidRPr="0088071A" w:rsidRDefault="00025426" w:rsidP="00025426">
            <w:pPr>
              <w:pStyle w:val="aff0"/>
              <w:jc w:val="center"/>
            </w:pPr>
            <w:r w:rsidRPr="0088071A">
              <w:t>231.2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6.5</w:t>
            </w:r>
          </w:p>
        </w:tc>
        <w:tc>
          <w:tcPr>
            <w:tcW w:w="1257" w:type="pct"/>
            <w:shd w:val="clear" w:color="auto" w:fill="auto"/>
            <w:vAlign w:val="center"/>
          </w:tcPr>
          <w:p w:rsidR="00025426" w:rsidRPr="0088071A" w:rsidRDefault="00025426" w:rsidP="00025426">
            <w:pPr>
              <w:pStyle w:val="aff0"/>
              <w:jc w:val="center"/>
            </w:pPr>
            <w:r w:rsidRPr="0088071A">
              <w:t>260.0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0.25</w:t>
            </w:r>
          </w:p>
        </w:tc>
        <w:tc>
          <w:tcPr>
            <w:tcW w:w="1257" w:type="pct"/>
            <w:shd w:val="clear" w:color="auto" w:fill="auto"/>
            <w:vAlign w:val="center"/>
          </w:tcPr>
          <w:p w:rsidR="00025426" w:rsidRPr="0088071A" w:rsidRDefault="00025426" w:rsidP="00025426">
            <w:pPr>
              <w:pStyle w:val="aff0"/>
              <w:jc w:val="center"/>
            </w:pPr>
            <w:r w:rsidRPr="0088071A">
              <w:t xml:space="preserve">10.0</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110</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D611FB" w:rsidRPr="00D3669E" w:rsidRDefault="00D611FB" w:rsidP="00D611FB">
      <w:pPr>
        <w:pStyle w:val="01maintext"/>
        <w:ind w:firstLine="480"/>
      </w:pPr>
      <w:proofErr w:type="gramStart"/>
      <w:r w:rsidRPr="00D3669E">
        <w:t>升压站</w:t>
      </w:r>
      <w:proofErr w:type="gramEnd"/>
      <w:r w:rsidRPr="00D3669E">
        <w:t>场地平整完毕后，</w:t>
      </w:r>
      <w:proofErr w:type="gramStart"/>
      <w:r w:rsidRPr="00D3669E">
        <w:t>升压站</w:t>
      </w:r>
      <w:proofErr w:type="gramEnd"/>
      <w:r w:rsidRPr="00D3669E">
        <w:rPr>
          <w:rFonts w:hint="eastAsia"/>
        </w:rPr>
        <w:t>四周</w:t>
      </w:r>
      <w:r w:rsidRPr="00D3669E">
        <w:t>需进行挖方</w:t>
      </w:r>
      <w:r w:rsidRPr="00D3669E">
        <w:rPr>
          <w:rFonts w:hint="eastAsia"/>
        </w:rPr>
        <w:t>，中间位置需进行填方，局部位置设置浆砌石挡土墙</w:t>
      </w:r>
      <w:r w:rsidRPr="00D3669E">
        <w:t>。边坡</w:t>
      </w:r>
      <w:r w:rsidRPr="00D3669E">
        <w:rPr>
          <w:rFonts w:hint="eastAsia"/>
        </w:rPr>
        <w:t>坡顶设置截水沟，坡</w:t>
      </w:r>
      <w:r w:rsidRPr="00D3669E">
        <w:t>脚设排水沟。</w:t>
      </w:r>
      <w:r w:rsidRPr="00D3669E">
        <w:rPr>
          <w:rFonts w:hint="eastAsia"/>
        </w:rPr>
        <w:t>浆砌石护坡</w:t>
      </w:r>
      <w:r w:rsidRPr="00D3669E">
        <w:t>自</w:t>
      </w:r>
      <w:r w:rsidRPr="00D3669E">
        <w:lastRenderedPageBreak/>
        <w:t>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19</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15.0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115200.0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华润电力郁南100MW风电项目</w:t>
      </w:r>
      <w:r w:rsidRPr="00CB3324">
        <w:rPr>
          <w:rFonts w:cs="宋体" w:hint="eastAsia"/>
          <w:szCs w:val="21"/>
        </w:rPr>
        <w:t>，</w:t>
      </w:r>
      <w:r w:rsidRPr="00CB3324">
        <w:rPr>
          <w:rFonts w:cs="宋体"/>
          <w:szCs w:val="21"/>
        </w:rPr>
        <w:t>位于</w:t>
      </w:r>
      <w:r w:rsidRPr="00CB3324">
        <w:rPr>
          <w:rFonts w:cs="宋体" w:hint="eastAsia"/>
          <w:szCs w:val="21"/>
        </w:rPr>
        <w:t xml:space="preserve">云浮郁南</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缓坡低山</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588m～852m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111.334294</w:t>
      </w:r>
      <w:r w:rsidRPr="00CB3324">
        <w:rPr>
          <w:rFonts w:cs="宋体" w:hint="eastAsia"/>
          <w:szCs w:val="21"/>
        </w:rPr>
        <w:t>、北纬</w:t>
      </w:r>
      <w:r w:rsidRPr="00CB3324">
        <w:rPr>
          <w:rFonts w:cs="宋体" w:hint="eastAsia"/>
          <w:szCs w:val="21"/>
        </w:rPr>
        <w:t xml:space="preserve">23.132694</w:t>
      </w:r>
      <w:r w:rsidRPr="00CB3324">
        <w:rPr>
          <w:rFonts w:cs="宋体" w:hint="eastAsia"/>
          <w:szCs w:val="21"/>
        </w:rPr>
        <w:t>之间，总区域共</w:t>
      </w:r>
      <w:r w:rsidRPr="00CB3324">
        <w:rPr>
          <w:rFonts w:cs="宋体" w:hint="eastAsia"/>
          <w:szCs w:val="21"/>
        </w:rPr>
        <w:t xml:space="preserve">20</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1623#测风塔90m高度年平均风速为5.9m/s,风功率密度为196W/m²。0064#测风塔90m高度年平均风速为6.14m/s,风功率密度为205W/m²。</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缓坡低山</w:t>
      </w:r>
      <w:r w:rsidRPr="00CB3324">
        <w:rPr>
          <w:rFonts w:cs="宋体" w:hint="eastAsia"/>
          <w:szCs w:val="21"/>
        </w:rPr>
        <w:t>，</w:t>
      </w:r>
      <w:r w:rsidR="003E1727" w:rsidRPr="00EE58E3">
        <w:rPr>
          <w:rFonts w:cs="宋体" w:hint="eastAsia"/>
          <w:szCs w:val="21"/>
          <w:highlight w:val="green"/>
        </w:rPr>
        <w:t xml:space="preserve">地形较为平缓，不需要进行高边坡特别设计.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7"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7"/>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广昆高速G60，省道S279</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广昆高速G60，省道S279</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广昆高速G60，省道S279</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15.0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B1747F">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w:t>
      </w:r>
      <w:r w:rsidR="00B1747F" w:rsidRPr="00CB3324">
        <w:rPr>
          <w:rFonts w:cs="宋体" w:hint="eastAsia"/>
          <w:szCs w:val="21"/>
          <w:highlight w:val="green"/>
        </w:rPr>
        <w:t xml:space="preserve">{ </w:t>
      </w:r>
      <w:r w:rsidR="00B1747F">
        <w:rPr>
          <w:rFonts w:cs="宋体" w:hint="eastAsia"/>
          <w:szCs w:val="21"/>
          <w:highlight w:val="green"/>
        </w:rPr>
        <w:t>运输车辆</w:t>
      </w:r>
      <w:bookmarkStart w:id="28" w:name="_GoBack"/>
      <w:bookmarkEnd w:id="28"/>
      <w:r w:rsidR="00B1747F" w:rsidRPr="00CB3324">
        <w:rPr>
          <w:rFonts w:cs="宋体" w:hint="eastAsia"/>
          <w:szCs w:val="21"/>
          <w:highlight w:val="green"/>
        </w:rPr>
        <w:t xml:space="preserve"> }}</w:t>
      </w:r>
      <w:r w:rsidR="00B1747F">
        <w:rPr>
          <w:rFonts w:cs="宋体" w:hint="eastAsia"/>
          <w:szCs w:val="21"/>
          <w:highlight w:val="green"/>
        </w:rPr>
        <w:t>。</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w:t>
      </w:r>
      <w:r w:rsidRPr="00CB3324">
        <w:rPr>
          <w:rFonts w:cs="宋体" w:hint="eastAsia"/>
          <w:szCs w:val="21"/>
        </w:rPr>
        <w:lastRenderedPageBreak/>
        <w:t>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6500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1600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15600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40</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425184.99</w:t>
      </w:r>
      <w:r w:rsidRPr="00CB3324">
        <w:rPr>
          <w:rFonts w:cs="宋体" w:hint="eastAsia"/>
          <w:szCs w:val="21"/>
        </w:rPr>
        <w:t>m</w:t>
      </w:r>
      <w:r w:rsidRPr="00CB3324">
        <w:rPr>
          <w:rFonts w:cs="宋体" w:hint="eastAsia"/>
          <w:szCs w:val="21"/>
        </w:rPr>
        <w:t>³，土石方填筑工程量</w:t>
      </w:r>
      <w:r w:rsidRPr="00CB3324">
        <w:rPr>
          <w:rFonts w:cs="宋体"/>
          <w:szCs w:val="21"/>
        </w:rPr>
        <w:t>212545.05</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65328.45</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37542.29</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27786.15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36916.54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6152.76</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30763.78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72250.0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72250.0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144000.0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34440.0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9840.0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425184.99</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212545.05</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212639.94</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212639.94</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13202.54</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1080.0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12305.51</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26588.06</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39.88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15600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57717.46</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162500.0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285317.46</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427.98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39.88</w:t>
      </w:r>
      <w:r w:rsidRPr="00CB3324">
        <w:rPr>
          <w:rFonts w:cs="宋体" w:hint="eastAsia"/>
          <w:szCs w:val="21"/>
        </w:rPr>
        <w:t>亩，临时用地</w:t>
      </w:r>
      <w:r w:rsidR="00143242" w:rsidRPr="00CB3324">
        <w:rPr>
          <w:rFonts w:cs="宋体"/>
          <w:szCs w:val="21"/>
        </w:rPr>
        <w:t>427.98</w:t>
      </w:r>
      <w:r w:rsidRPr="00CB3324">
        <w:rPr>
          <w:rFonts w:cs="宋体" w:hint="eastAsia"/>
          <w:szCs w:val="21"/>
        </w:rPr>
        <w:t>亩，总用地</w:t>
      </w:r>
      <w:r w:rsidR="00143242" w:rsidRPr="00CB3324">
        <w:rPr>
          <w:rFonts w:cs="宋体"/>
          <w:szCs w:val="21"/>
        </w:rPr>
        <w:t>467.86</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40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503" w:rsidRDefault="003E3503">
      <w:pPr>
        <w:spacing w:line="240" w:lineRule="auto"/>
        <w:ind w:firstLine="480"/>
      </w:pPr>
      <w:r>
        <w:separator/>
      </w:r>
    </w:p>
  </w:endnote>
  <w:endnote w:type="continuationSeparator" w:id="0">
    <w:p w:rsidR="003E3503" w:rsidRDefault="003E350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503" w:rsidRDefault="003E3503">
      <w:pPr>
        <w:spacing w:line="240" w:lineRule="auto"/>
        <w:ind w:firstLine="480"/>
      </w:pPr>
      <w:r>
        <w:separator/>
      </w:r>
    </w:p>
  </w:footnote>
  <w:footnote w:type="continuationSeparator" w:id="0">
    <w:p w:rsidR="003E3503" w:rsidRDefault="003E350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华润电力郁南100MW风电项目</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3503"/>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01C7E"/>
    <w:rsid w:val="00B1747F"/>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611FB"/>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16015C2F"/>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5" Type="http://schemas.openxmlformats.org/officeDocument/2006/relationships/theme" Target="theme/theme1.xml"/><Relationship Id="rId2" Type="http://schemas.openxmlformats.org/officeDocument/2006/relationships/styles" Target="styles.xml"/><Relationship Id="rId6" Type="http://schemas.openxmlformats.org/officeDocument/2006/relationships/endnotes" Target="endnotes.xml"/><Relationship Id="rId3" Type="http://schemas.openxmlformats.org/officeDocument/2006/relationships/settings" Target="settings.xml"/><Relationship Id="rId11" Type="http://schemas.openxmlformats.org/officeDocument/2006/relationships/footer" Target="footer2.xml"/><Relationship Id="rId12" Type="http://schemas.openxmlformats.org/officeDocument/2006/relationships/header" Target="header3.xml"/><Relationship Id="rId10" Type="http://schemas.openxmlformats.org/officeDocument/2006/relationships/footer" Target="footer1.xml"/><Relationship Id="rId4" Type="http://schemas.openxmlformats.org/officeDocument/2006/relationships/webSettings" Target="webSettings.xml"/><Relationship Id="rId1" Type="http://schemas.openxmlformats.org/officeDocument/2006/relationships/numbering" Target="numbering.xml"/><Relationship Id="rId7" Type="http://schemas.openxmlformats.org/officeDocument/2006/relationships/image" Target="media/image1.png"/><Relationship Id="rId14" Type="http://schemas.openxmlformats.org/officeDocument/2006/relationships/fontTable" Target="fontTable.xml"/><Relationship Id="rId13" Type="http://schemas.openxmlformats.org/officeDocument/2006/relationships/footer" Target="footer3.xml"/><Relationship Id="rId5"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30</Pages>
  <Words>2802</Words>
  <Characters>15974</Characters>
  <Application>Microsoft Office Word</Application>
  <DocSecurity>0</DocSecurity>
  <Lines>133</Lines>
  <Paragraphs>37</Paragraphs>
  <ScaleCrop>false</ScaleCrop>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14</cp:revision>
  <dcterms:created xsi:type="dcterms:W3CDTF">2019-04-07T12:50:00Z</dcterms:created>
  <dcterms:modified xsi:type="dcterms:W3CDTF">2019-12-12T07:48:00Z</dcterms:modified>
</cp:coreProperties>
</file>