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8073FE" w:rsidRPr="0088071A">
        <w:t>210.0</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88071A">
        <w:t>待提交</w:t>
      </w:r>
      <w:r w:rsidRPr="0088071A">
        <w:rPr>
          <w:rFonts w:hint="eastAsia"/>
          <w:lang w:val="en-GB"/>
        </w:rPr>
        <w:t>等，工程规模为</w:t>
      </w:r>
      <w:r w:rsidR="008B7970" w:rsidRPr="0088071A">
        <w:t>待提交</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88071A">
        <w:t>110</w:t>
      </w:r>
      <w:r w:rsidR="00603688" w:rsidRPr="0088071A">
        <w:rPr>
          <w:rFonts w:hint="eastAsia"/>
        </w:rPr>
        <w:t>kV</w:t>
      </w:r>
      <w:r w:rsidRPr="0088071A">
        <w:rPr>
          <w:rFonts w:hint="eastAsia"/>
          <w:lang w:val="en-GB"/>
        </w:rPr>
        <w:t>变电站，建筑物级别为</w:t>
      </w:r>
      <w:r w:rsidR="008B7970" w:rsidRPr="0088071A">
        <w:t>待提交</w:t>
      </w:r>
      <w:r w:rsidRPr="0088071A">
        <w:rPr>
          <w:rFonts w:hint="eastAsia"/>
          <w:lang w:val="en-GB"/>
        </w:rPr>
        <w:t>，结构安全等级为</w:t>
      </w:r>
      <w:r w:rsidR="008B7970" w:rsidRPr="0088071A">
        <w:t>待提交</w:t>
      </w:r>
      <w:r w:rsidRPr="0088071A">
        <w:rPr>
          <w:rFonts w:hint="eastAsia"/>
          <w:lang w:val="en-GB"/>
        </w:rPr>
        <w:t>，洪水设计标准为</w:t>
      </w:r>
      <w:r w:rsidR="008B7970" w:rsidRPr="0088071A">
        <w:t>待提交</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603688" w:rsidRPr="0088071A">
        <w:t>2.5</w:t>
      </w:r>
      <w:r w:rsidRPr="0088071A">
        <w:rPr>
          <w:rFonts w:hint="eastAsia"/>
          <w:lang w:val="en-GB"/>
        </w:rPr>
        <w:t>MW</w:t>
      </w:r>
      <w:r w:rsidRPr="0088071A">
        <w:rPr>
          <w:rFonts w:hint="eastAsia"/>
          <w:lang w:val="en-GB"/>
        </w:rPr>
        <w:t>风电机组</w:t>
      </w:r>
      <w:r w:rsidR="00603688" w:rsidRPr="0088071A">
        <w:t>84</w:t>
      </w:r>
      <w:r w:rsidRPr="0088071A">
        <w:rPr>
          <w:rFonts w:hint="eastAsia"/>
          <w:lang w:val="en-GB"/>
        </w:rPr>
        <w:t>台，轮毂高度</w:t>
      </w:r>
      <w:r w:rsidR="00E4414F" w:rsidRPr="0088071A">
        <w:t>100</w:t>
      </w:r>
      <w:r w:rsidRPr="0088071A">
        <w:rPr>
          <w:rFonts w:hint="eastAsia"/>
          <w:lang w:val="en-GB"/>
        </w:rPr>
        <w:t>m</w:t>
      </w:r>
      <w:r w:rsidRPr="0088071A">
        <w:rPr>
          <w:rFonts w:hint="eastAsia"/>
          <w:lang w:val="en-GB"/>
        </w:rPr>
        <w:t>，机组塔架地基基础的设计级别为</w:t>
      </w:r>
      <w:r w:rsidR="008B7970" w:rsidRPr="0088071A">
        <w:t>待提交</w:t>
      </w:r>
      <w:r w:rsidRPr="0088071A">
        <w:rPr>
          <w:rFonts w:hint="eastAsia"/>
          <w:lang w:val="en-GB"/>
        </w:rPr>
        <w:t>，结构安全等级为</w:t>
      </w:r>
      <w:r w:rsidR="00202C9A" w:rsidRPr="0088071A">
        <w:t>待提交</w:t>
      </w:r>
      <w:r w:rsidRPr="0088071A">
        <w:rPr>
          <w:rFonts w:hint="eastAsia"/>
          <w:lang w:val="en-GB"/>
        </w:rPr>
        <w:t>，洪水设计标准年限为</w:t>
      </w:r>
      <w:r w:rsidR="008B7970" w:rsidRPr="0088071A">
        <w:t>待提交</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待提交</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7</w:t>
      </w:r>
      <w:r w:rsidRPr="0088071A">
        <w:rPr>
          <w:rFonts w:hint="eastAsia"/>
          <w:lang w:val="en-GB"/>
        </w:rPr>
        <w:t>度，设计地震分组为</w:t>
      </w:r>
      <w:r w:rsidR="00AC30C0" w:rsidRPr="0088071A">
        <w:t>待提交</w:t>
      </w:r>
      <w:r w:rsidRPr="0088071A">
        <w:rPr>
          <w:rFonts w:hint="eastAsia"/>
          <w:lang w:val="en-GB"/>
        </w:rPr>
        <w:t>，设计基本地震加速度值为</w:t>
      </w:r>
      <w:r w:rsidR="00AC30C0" w:rsidRPr="0088071A">
        <w:t>待提交</w:t>
      </w:r>
      <w:r w:rsidRPr="0088071A">
        <w:rPr>
          <w:rFonts w:hint="eastAsia"/>
          <w:lang w:val="en-GB"/>
        </w:rPr>
        <w:t>g</w:t>
      </w:r>
      <w:r w:rsidRPr="0088071A">
        <w:rPr>
          <w:rFonts w:hint="eastAsia"/>
          <w:lang w:val="en-GB"/>
        </w:rPr>
        <w:t>，建筑场地类别为</w:t>
      </w:r>
      <w:r w:rsidR="00AC30C0" w:rsidRPr="0088071A">
        <w:t>待提交</w:t>
      </w:r>
      <w:r w:rsidRPr="0088071A">
        <w:rPr>
          <w:rFonts w:hint="eastAsia"/>
          <w:lang w:val="en-GB"/>
        </w:rPr>
        <w:t>类场地，属建筑</w:t>
      </w:r>
      <w:r w:rsidR="003C6444" w:rsidRPr="0088071A">
        <w:t>待提交</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617D9B" w:rsidRPr="0088071A" w:rsidRDefault="00617D9B" w:rsidP="00617D9B">
      <w:pPr>
        <w:ind w:firstLine="480"/>
        <w:rPr>
          <w:lang w:val="en-GB"/>
        </w:rPr>
      </w:pPr>
      <w:r w:rsidRPr="0088071A">
        <w:rPr>
          <w:rFonts w:hint="eastAsia"/>
          <w:lang w:val="en-GB"/>
        </w:rPr>
        <w:t>本项目位于宁夏回族自治区中卫市海原县境内山地丘陵，场区中心距离中卫市约</w:t>
      </w:r>
      <w:r w:rsidRPr="0088071A">
        <w:rPr>
          <w:lang w:val="en-GB"/>
        </w:rPr>
        <w:t>115</w:t>
      </w:r>
      <w:r w:rsidRPr="0088071A">
        <w:rPr>
          <w:rFonts w:hint="eastAsia"/>
          <w:lang w:val="en-GB"/>
        </w:rPr>
        <w:t>km</w:t>
      </w:r>
      <w:r w:rsidRPr="0088071A">
        <w:rPr>
          <w:rFonts w:hint="eastAsia"/>
          <w:lang w:val="en-GB"/>
        </w:rPr>
        <w:t>，距离海原县约</w:t>
      </w:r>
      <w:r w:rsidRPr="0088071A">
        <w:rPr>
          <w:lang w:val="en-GB"/>
        </w:rPr>
        <w:t>18</w:t>
      </w:r>
      <w:r w:rsidRPr="0088071A">
        <w:rPr>
          <w:rFonts w:hint="eastAsia"/>
          <w:lang w:val="en-GB"/>
        </w:rPr>
        <w:t>km</w:t>
      </w:r>
      <w:r w:rsidRPr="0088071A">
        <w:rPr>
          <w:rFonts w:hint="eastAsia"/>
          <w:lang w:val="en-GB"/>
        </w:rPr>
        <w:t>。</w:t>
      </w:r>
    </w:p>
    <w:p w:rsidR="00617D9B" w:rsidRPr="0088071A" w:rsidRDefault="00617D9B" w:rsidP="00617D9B">
      <w:pPr>
        <w:ind w:firstLine="480"/>
        <w:rPr>
          <w:lang w:val="en-GB"/>
        </w:rPr>
      </w:pPr>
      <w:r w:rsidRPr="0088071A">
        <w:rPr>
          <w:rFonts w:hint="eastAsia"/>
        </w:rPr>
        <w:lastRenderedPageBreak/>
        <w:t>项目区内在地貌上为祁连山地槽与鄂尔多斯台地边缘之间，主要以黄土梁、峁等黄土丘陵地貌为主，局部为微小型黄土塬地貌，其间多发育沟谷。黄土梁、峁地段多地形破碎，沟壑纵横，黄土梁多系黄土塬受平行冲沟切割而成窄条状高低，黄土峁系黄土梁受冲沟进一步切割而成孤立馒头状高地。峁顶的面积不大，以</w:t>
      </w:r>
      <w:r w:rsidRPr="0088071A">
        <w:rPr>
          <w:rFonts w:hint="eastAsia"/>
        </w:rPr>
        <w:t>3</w:t>
      </w:r>
      <w:r w:rsidRPr="0088071A">
        <w:rPr>
          <w:rFonts w:hint="eastAsia"/>
        </w:rPr>
        <w:t>º</w:t>
      </w:r>
      <w:r w:rsidRPr="0088071A">
        <w:rPr>
          <w:rFonts w:hint="eastAsia"/>
        </w:rPr>
        <w:t>~10</w:t>
      </w:r>
      <w:r w:rsidRPr="0088071A">
        <w:rPr>
          <w:rFonts w:hint="eastAsia"/>
        </w:rPr>
        <w:t>º向四周倾斜，并逐渐过渡为坡度</w:t>
      </w:r>
      <w:r w:rsidRPr="0088071A">
        <w:rPr>
          <w:rFonts w:hint="eastAsia"/>
        </w:rPr>
        <w:t>15</w:t>
      </w:r>
      <w:r w:rsidRPr="0088071A">
        <w:rPr>
          <w:rFonts w:hint="eastAsia"/>
        </w:rPr>
        <w:t>º</w:t>
      </w:r>
      <w:r w:rsidRPr="0088071A">
        <w:rPr>
          <w:rFonts w:hint="eastAsia"/>
        </w:rPr>
        <w:t>~35</w:t>
      </w:r>
      <w:r w:rsidRPr="0088071A">
        <w:rPr>
          <w:rFonts w:hint="eastAsia"/>
        </w:rPr>
        <w:t>º的峁坡。局部为黄土塬，塬顶多宽阔浑圆。地表多为低矮耐旱性灌木，植被发育尚可。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lastRenderedPageBreak/>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617D9B">
      <w:pPr>
        <w:ind w:firstLine="480"/>
        <w:rPr>
          <w:lang w:val="en-GB"/>
        </w:rPr>
      </w:pPr>
      <w:r w:rsidRPr="0088071A">
        <w:rPr>
          <w:rFonts w:hint="eastAsia"/>
          <w:lang w:val="en-GB"/>
        </w:rPr>
        <w:t>本工程共安装</w:t>
      </w:r>
      <w:r w:rsidR="00025426" w:rsidRPr="0088071A">
        <w:t>84</w:t>
      </w:r>
      <w:r w:rsidRPr="0088071A">
        <w:rPr>
          <w:rFonts w:hint="eastAsia"/>
          <w:lang w:val="en-GB"/>
        </w:rPr>
        <w:t>台单机容量为</w:t>
      </w:r>
      <w:r w:rsidR="00025426" w:rsidRPr="0088071A">
        <w:t>2.5</w:t>
      </w:r>
      <w:r w:rsidRPr="0088071A">
        <w:rPr>
          <w:rFonts w:hint="eastAsia"/>
          <w:lang w:val="en-GB"/>
        </w:rPr>
        <w:t>MW</w:t>
      </w:r>
      <w:r w:rsidRPr="0088071A">
        <w:rPr>
          <w:rFonts w:hint="eastAsia"/>
          <w:lang w:val="en-GB"/>
        </w:rPr>
        <w:t>的风机。采用一机一变，共选用</w:t>
      </w:r>
      <w:r w:rsidR="00025426" w:rsidRPr="0088071A">
        <w:t>84</w:t>
      </w:r>
      <w:r w:rsidRPr="0088071A">
        <w:rPr>
          <w:rFonts w:hint="eastAsia"/>
          <w:lang w:val="en-GB"/>
        </w:rPr>
        <w:t>台</w:t>
      </w:r>
      <w:r w:rsidRPr="0088071A">
        <w:rPr>
          <w:rFonts w:hint="eastAsia"/>
          <w:lang w:val="en-GB"/>
        </w:rPr>
        <w:t>35kV</w:t>
      </w:r>
      <w:r w:rsidRPr="0088071A">
        <w:rPr>
          <w:rFonts w:hint="eastAsia"/>
          <w:lang w:val="en-GB"/>
        </w:rPr>
        <w:t>箱式变电站。</w:t>
      </w:r>
      <w:r w:rsidRPr="0088071A">
        <w:rPr>
          <w:lang w:val="en-GB"/>
        </w:rPr>
        <w:t>根据类似工程风机厂家提供的资料，采用轮毂中心高度</w:t>
      </w:r>
      <w:r w:rsidR="003C6444" w:rsidRPr="0088071A">
        <w:t>100</w:t>
      </w:r>
      <w:r w:rsidRPr="0088071A">
        <w:rPr>
          <w:lang w:val="en-GB"/>
        </w:rPr>
        <w:t>m</w:t>
      </w:r>
      <w:r w:rsidRPr="0088071A">
        <w:rPr>
          <w:lang w:val="en-GB"/>
        </w:rPr>
        <w:t>风机机组，</w:t>
      </w:r>
      <w:r w:rsidRPr="0088071A">
        <w:rPr>
          <w:lang w:val="en-GB"/>
        </w:rPr>
        <w:lastRenderedPageBreak/>
        <w:t>工况载荷（</w:t>
      </w:r>
      <w:r w:rsidRPr="0088071A">
        <w:rPr>
          <w:rFonts w:hint="eastAsia"/>
          <w:lang w:val="en-GB"/>
        </w:rPr>
        <w:t>不</w:t>
      </w:r>
      <w:r w:rsidRPr="0088071A">
        <w:rPr>
          <w:lang w:val="en-GB"/>
        </w:rPr>
        <w:t>含安全系数），如表</w:t>
      </w:r>
      <w:r w:rsidRPr="0088071A">
        <w:rPr>
          <w:lang w:val="en-GB"/>
        </w:rPr>
        <w:t>8-1</w:t>
      </w:r>
      <w:r w:rsidRPr="0088071A">
        <w:rPr>
          <w:lang w:val="en-GB"/>
        </w:rPr>
        <w:t>所示：</w:t>
      </w:r>
    </w:p>
    <w:p w:rsidR="00617D9B" w:rsidRPr="0088071A" w:rsidRDefault="00617D9B" w:rsidP="006F1D0C">
      <w:pPr>
        <w:ind w:firstLine="480"/>
        <w:jc w:val="cente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主要工况荷载值</w:t>
      </w:r>
    </w:p>
    <w:tbl>
      <w:tblPr>
        <w:tblW w:w="5000" w:type="pct"/>
        <w:jc w:val="center"/>
        <w:tblLook w:val="04A0" w:firstRow="1" w:lastRow="0" w:firstColumn="1" w:lastColumn="0" w:noHBand="0" w:noVBand="1"/>
      </w:tblPr>
      <w:tblGrid>
        <w:gridCol w:w="1903"/>
        <w:gridCol w:w="1049"/>
        <w:gridCol w:w="1039"/>
        <w:gridCol w:w="1050"/>
        <w:gridCol w:w="1131"/>
        <w:gridCol w:w="1068"/>
        <w:gridCol w:w="1056"/>
      </w:tblGrid>
      <w:tr w:rsidR="00617D9B" w:rsidRPr="0088071A"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Fr(</w:t>
            </w:r>
            <w:proofErr w:type="spellStart"/>
            <w:r w:rsidRPr="0088071A">
              <w:t>kN</w:t>
            </w:r>
            <w:proofErr w:type="spellEnd"/>
            <w:r w:rsidRPr="0088071A">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Fy</w:t>
            </w:r>
            <w:proofErr w:type="spellEnd"/>
            <w:r w:rsidRPr="0088071A">
              <w:t>(</w:t>
            </w:r>
            <w:proofErr w:type="spellStart"/>
            <w:r w:rsidRPr="0088071A">
              <w:t>kN</w:t>
            </w:r>
            <w:proofErr w:type="spellEnd"/>
            <w:r w:rsidRPr="0088071A">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Fz</w:t>
            </w:r>
            <w:proofErr w:type="spellEnd"/>
            <w:r w:rsidRPr="0088071A">
              <w:t>(</w:t>
            </w:r>
            <w:proofErr w:type="spellStart"/>
            <w:r w:rsidRPr="0088071A">
              <w:t>kN</w:t>
            </w:r>
            <w:proofErr w:type="spellEnd"/>
            <w:r w:rsidRPr="0088071A">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Mr</w:t>
            </w:r>
            <w:proofErr w:type="spellEnd"/>
            <w:r w:rsidRPr="0088071A">
              <w:t>(</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My(</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Mz</w:t>
            </w:r>
            <w:proofErr w:type="spellEnd"/>
            <w:r w:rsidRPr="0088071A">
              <w:t>(</w:t>
            </w:r>
            <w:proofErr w:type="spellStart"/>
            <w:r w:rsidRPr="0088071A">
              <w:t>kNm</w:t>
            </w:r>
            <w:proofErr w:type="spellEnd"/>
            <w:r w:rsidRPr="0088071A">
              <w:t>)</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96.3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上限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5033.3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下限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3734.3</w:t>
            </w:r>
          </w:p>
        </w:tc>
      </w:tr>
    </w:tbl>
    <w:p w:rsidR="00617D9B" w:rsidRPr="0088071A" w:rsidRDefault="00617D9B" w:rsidP="00617D9B">
      <w:pPr>
        <w:ind w:firstLine="480"/>
        <w:rPr>
          <w:lang w:val="en-GB"/>
        </w:rPr>
      </w:pPr>
      <w:r w:rsidRPr="0088071A">
        <w:t>1</w:t>
      </w:r>
      <w:r w:rsidRPr="0088071A">
        <w:t>）风电机组基础持力层选择</w:t>
      </w:r>
    </w:p>
    <w:p w:rsidR="00617D9B" w:rsidRPr="0088071A" w:rsidRDefault="00617D9B" w:rsidP="00617D9B">
      <w:pPr>
        <w:ind w:firstLine="480"/>
        <w:rPr>
          <w:lang w:val="en-GB"/>
        </w:rPr>
      </w:pPr>
      <w:r w:rsidRPr="0088071A">
        <w:rPr>
          <w:lang w:val="en-GB"/>
        </w:rPr>
        <w:t>风机基础要承受塔筒底部传来的风机重量、弯矩及水平力等荷载，且风机承受的主要荷载</w:t>
      </w:r>
      <w:r w:rsidRPr="0088071A">
        <w:rPr>
          <w:lang w:val="en-GB"/>
        </w:rPr>
        <w:t>——</w:t>
      </w:r>
      <w:r w:rsidRPr="0088071A">
        <w:rPr>
          <w:lang w:val="en-GB"/>
        </w:rPr>
        <w:t>风荷载的不确定性，使得风电机组对地基基础的要求较高。对地质资料分析表明，风电场场区内岩土层分布简单，地层情况较</w:t>
      </w:r>
      <w:r w:rsidRPr="0088071A">
        <w:rPr>
          <w:rFonts w:hint="eastAsia"/>
          <w:lang w:val="en-GB"/>
        </w:rPr>
        <w:t>好</w:t>
      </w:r>
      <w:r w:rsidRPr="0088071A">
        <w:rPr>
          <w:lang w:val="en-GB"/>
        </w:rPr>
        <w:t>，故本阶段选用</w:t>
      </w:r>
      <w:r w:rsidRPr="0088071A">
        <w:rPr>
          <w:rFonts w:hint="eastAsia"/>
          <w:lang w:val="en-GB"/>
        </w:rPr>
        <w:t>扩展基础</w:t>
      </w:r>
      <w:r w:rsidRPr="0088071A">
        <w:rPr>
          <w:lang w:val="en-GB"/>
        </w:rPr>
        <w:t>，根据各机位地质分布情况，基础持力层应位于全风化或</w:t>
      </w:r>
      <w:r w:rsidRPr="0088071A">
        <w:rPr>
          <w:rFonts w:hint="eastAsia"/>
          <w:lang w:val="en-GB"/>
        </w:rPr>
        <w:t>强风化</w:t>
      </w:r>
      <w:r w:rsidRPr="0088071A">
        <w:rPr>
          <w:lang w:val="en-GB"/>
        </w:rPr>
        <w:t>层</w:t>
      </w:r>
      <w:r w:rsidRPr="0088071A">
        <w:rPr>
          <w:rFonts w:hint="eastAsia"/>
          <w:lang w:val="en-GB"/>
        </w:rPr>
        <w:t>上</w:t>
      </w:r>
      <w:r w:rsidRPr="0088071A">
        <w:rPr>
          <w:lang w:val="en-GB"/>
        </w:rPr>
        <w:t>，对应地基承载力特征值</w:t>
      </w:r>
      <w:proofErr w:type="spellStart"/>
      <w:r w:rsidRPr="0088071A">
        <w:rPr>
          <w:lang w:val="en-GB"/>
        </w:rPr>
        <w:t>fk</w:t>
      </w:r>
      <w:proofErr w:type="spellEnd"/>
      <w:r w:rsidRPr="0088071A">
        <w:rPr>
          <w:lang w:val="en-GB"/>
        </w:rPr>
        <w:t>=200~350k</w:t>
      </w:r>
      <w:r w:rsidR="00E101C7" w:rsidRPr="0088071A">
        <w:rPr>
          <w:lang w:val="en-GB"/>
        </w:rPr>
        <w:t>P</w:t>
      </w:r>
      <w:r w:rsidRPr="0088071A">
        <w:rPr>
          <w:lang w:val="en-GB"/>
        </w:rPr>
        <w:t>a</w:t>
      </w:r>
      <w:r w:rsidRPr="0088071A">
        <w:rPr>
          <w:lang w:val="en-GB"/>
        </w:rPr>
        <w:t>。</w:t>
      </w:r>
    </w:p>
    <w:p w:rsidR="00617D9B" w:rsidRPr="0088071A" w:rsidRDefault="00617D9B" w:rsidP="00617D9B">
      <w:pPr>
        <w:ind w:firstLine="480"/>
        <w:jc w:val="center"/>
        <w:rPr>
          <w:rFonts w:eastAsia="黑体" w:cs="Times New Roman"/>
        </w:rP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2</w:t>
      </w:r>
      <w:r w:rsidRPr="0088071A">
        <w:fldChar w:fldCharType="end"/>
      </w:r>
      <w:r w:rsidRPr="0088071A">
        <w:t xml:space="preserve">  </w:t>
      </w:r>
      <w:r w:rsidRPr="0088071A">
        <w:rPr>
          <w:rFonts w:eastAsia="黑体" w:cs="Times New Roman" w:hint="eastAsia"/>
        </w:rPr>
        <w:t>岩土力学参数值</w:t>
      </w:r>
    </w:p>
    <w:tbl>
      <w:tblPr>
        <w:tblW w:w="5000" w:type="pct"/>
        <w:tblLayout w:type="fixed"/>
        <w:tblLook w:val="04A0" w:firstRow="1" w:lastRow="0" w:firstColumn="1" w:lastColumn="0" w:noHBand="0" w:noVBand="1"/>
      </w:tblPr>
      <w:tblGrid>
        <w:gridCol w:w="422"/>
        <w:gridCol w:w="714"/>
        <w:gridCol w:w="567"/>
        <w:gridCol w:w="704"/>
        <w:gridCol w:w="708"/>
        <w:gridCol w:w="708"/>
        <w:gridCol w:w="851"/>
        <w:gridCol w:w="708"/>
        <w:gridCol w:w="708"/>
        <w:gridCol w:w="707"/>
        <w:gridCol w:w="830"/>
        <w:gridCol w:w="669"/>
      </w:tblGrid>
      <w:tr w:rsidR="006F1D0C" w:rsidRPr="0088071A"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厚度</w:t>
            </w:r>
            <w:r w:rsidRPr="0088071A">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压缩模量</w:t>
            </w:r>
            <w:proofErr w:type="spellStart"/>
            <w:r w:rsidRPr="0088071A">
              <w:t>Es</w:t>
            </w:r>
            <w:proofErr w:type="spellEnd"/>
            <w:r w:rsidRPr="0088071A">
              <w:t>(MPa)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内聚力</w:t>
            </w:r>
            <w:r w:rsidRPr="0088071A">
              <w:t>C(</w:t>
            </w:r>
            <w:proofErr w:type="spellStart"/>
            <w:r w:rsidRPr="0088071A">
              <w:t>kPa</w:t>
            </w:r>
            <w:proofErr w:type="spellEnd"/>
            <w:r w:rsidRPr="0088071A">
              <w:t>)</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摩擦角</w:t>
            </w:r>
            <w:r w:rsidRPr="0088071A">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承载力特征值</w:t>
            </w:r>
            <w:proofErr w:type="spellStart"/>
            <w:r w:rsidRPr="0088071A">
              <w:t>fak</w:t>
            </w:r>
            <w:proofErr w:type="spellEnd"/>
            <w:r w:rsidRPr="0088071A">
              <w:t>(</w:t>
            </w:r>
            <w:proofErr w:type="spellStart"/>
            <w:r w:rsidRPr="0088071A">
              <w:t>kPa</w:t>
            </w:r>
            <w:proofErr w:type="spellEnd"/>
            <w:r w:rsidRPr="0088071A">
              <w:t>)</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宽度承载力修正系数</w:t>
            </w:r>
            <w:proofErr w:type="spellStart"/>
            <w:r w:rsidRPr="0088071A">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深度承载力修正系数</w:t>
            </w:r>
            <w:proofErr w:type="spellStart"/>
            <w:r w:rsidRPr="0088071A">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地基抗震承载力修正系数</w:t>
            </w:r>
            <w:proofErr w:type="spellStart"/>
            <w:r w:rsidRPr="0088071A">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承载力标准值</w:t>
            </w:r>
            <w:r w:rsidRPr="0088071A">
              <w:t>(</w:t>
            </w:r>
            <w:proofErr w:type="spellStart"/>
            <w:r w:rsidRPr="0088071A">
              <w:t>kPa</w:t>
            </w:r>
            <w:proofErr w:type="spellEnd"/>
            <w:r w:rsidRPr="0088071A">
              <w:t>)</w:t>
            </w:r>
          </w:p>
        </w:tc>
      </w:tr>
      <w:tr w:rsidR="006F1D0C" w:rsidRPr="0088071A"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w:t>
            </w:r>
            <w:proofErr w:type="spellStart"/>
            <w:r w:rsidRPr="0088071A">
              <w:t>kN</w:t>
            </w:r>
            <w:proofErr w:type="spellEnd"/>
            <w:r w:rsidRPr="0088071A">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r>
    </w:tbl>
    <w:p w:rsidR="00617D9B" w:rsidRPr="0088071A" w:rsidRDefault="00617D9B" w:rsidP="00617D9B">
      <w:pPr>
        <w:ind w:firstLine="480"/>
        <w:rPr>
          <w:lang w:val="en-GB"/>
        </w:rPr>
      </w:pPr>
      <w:r w:rsidRPr="0088071A">
        <w:rPr>
          <w:lang w:val="en-GB"/>
        </w:rPr>
        <w:t>2</w:t>
      </w:r>
      <w:r w:rsidRPr="0088071A">
        <w:rPr>
          <w:lang w:val="en-GB"/>
        </w:rPr>
        <w:t>）风电机组地基基础形式选择</w:t>
      </w:r>
    </w:p>
    <w:p w:rsidR="00617D9B" w:rsidRPr="0088071A" w:rsidRDefault="00617D9B" w:rsidP="00617D9B">
      <w:pPr>
        <w:ind w:firstLine="480"/>
        <w:rPr>
          <w:lang w:val="en-GB"/>
        </w:rPr>
      </w:pPr>
      <w:r w:rsidRPr="0088071A">
        <w:rPr>
          <w:lang w:val="en-GB"/>
        </w:rPr>
        <w:t>根据风机制造厂提供的设计参数和本场区地质条件，初步选定风机基础型式为圆形</w:t>
      </w:r>
      <w:r w:rsidR="009178D2" w:rsidRPr="0088071A">
        <w:t>扩展基础</w:t>
      </w:r>
      <w:r w:rsidRPr="0088071A">
        <w:rPr>
          <w:lang w:val="en-GB"/>
        </w:rPr>
        <w:t>。根据规范要求分别进行了地基承载力验算、沉降验算和抗倾覆验算等，极限工况为控制工况，经计算</w:t>
      </w:r>
      <w:r w:rsidRPr="0088071A">
        <w:rPr>
          <w:rFonts w:hint="eastAsia"/>
          <w:lang w:val="en-GB"/>
        </w:rPr>
        <w:t>：</w:t>
      </w:r>
    </w:p>
    <w:p w:rsidR="00617D9B" w:rsidRPr="0088071A" w:rsidRDefault="00617D9B" w:rsidP="00617D9B">
      <w:pPr>
        <w:ind w:firstLine="480"/>
        <w:rPr>
          <w:lang w:val="en-GB"/>
        </w:rPr>
      </w:pPr>
      <w:r w:rsidRPr="0088071A">
        <w:rPr>
          <w:rFonts w:hint="eastAsia"/>
          <w:lang w:val="en-GB"/>
        </w:rPr>
        <w:t>结果见下表</w:t>
      </w:r>
      <w:r w:rsidRPr="0088071A">
        <w:rPr>
          <w:lang w:val="en-GB"/>
        </w:rPr>
        <w:t>：</w:t>
      </w:r>
    </w:p>
    <w:p w:rsidR="00617D9B" w:rsidRPr="0088071A" w:rsidRDefault="00617D9B" w:rsidP="00617D9B">
      <w:pPr>
        <w:ind w:firstLine="480"/>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3</w:t>
      </w:r>
      <w:r w:rsidRPr="0088071A">
        <w:fldChar w:fldCharType="end"/>
      </w:r>
      <w:r w:rsidRPr="0088071A">
        <w:t xml:space="preserve">  </w:t>
      </w:r>
      <w:r w:rsidRPr="0088071A">
        <w:t>风机基础结构计算结果</w:t>
      </w:r>
    </w:p>
    <w:tbl>
      <w:tblPr>
        <w:tblW w:w="5000" w:type="pct"/>
        <w:tblLook w:val="04A0" w:firstRow="1" w:lastRow="0" w:firstColumn="1" w:lastColumn="0" w:noHBand="0" w:noVBand="1"/>
      </w:tblPr>
      <w:tblGrid>
        <w:gridCol w:w="2102"/>
        <w:gridCol w:w="726"/>
        <w:gridCol w:w="1313"/>
        <w:gridCol w:w="1203"/>
        <w:gridCol w:w="1313"/>
        <w:gridCol w:w="1203"/>
        <w:gridCol w:w="426"/>
      </w:tblGrid>
      <w:tr w:rsidR="00617D9B" w:rsidRPr="0088071A"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项</w:t>
            </w:r>
            <w:r w:rsidRPr="0088071A">
              <w:rPr>
                <w:rFonts w:hint="eastAsia"/>
              </w:rPr>
              <w:t xml:space="preserve">   </w:t>
            </w:r>
            <w:r w:rsidRPr="0088071A">
              <w:rPr>
                <w:rFonts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备</w:t>
            </w:r>
            <w:r w:rsidRPr="0088071A">
              <w:rPr>
                <w:rFonts w:hint="eastAsia"/>
              </w:rPr>
              <w:t xml:space="preserve">  </w:t>
            </w:r>
            <w:r w:rsidRPr="0088071A">
              <w:rPr>
                <w:rFonts w:hint="eastAsia"/>
              </w:rPr>
              <w:t>注</w:t>
            </w:r>
          </w:p>
        </w:tc>
      </w:tr>
      <w:tr w:rsidR="00617D9B" w:rsidRPr="0088071A"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1</w:t>
            </w:r>
            <w:r w:rsidRPr="0088071A">
              <w:rPr>
                <w:rFonts w:hint="eastAsia"/>
              </w:rPr>
              <w:t>、地基承载力复核</w:t>
            </w:r>
          </w:p>
        </w:tc>
      </w:tr>
      <w:tr w:rsidR="00617D9B" w:rsidRPr="0088071A"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偏心距</w:t>
            </w:r>
            <w:r w:rsidRPr="0088071A">
              <w:rPr>
                <w:rFonts w:hint="eastAsia"/>
              </w:rPr>
              <w:t>e/</w:t>
            </w:r>
            <w:r w:rsidRPr="0088071A">
              <w:rPr>
                <w:rFonts w:hint="eastAsia"/>
              </w:rPr>
              <w:t>基础底面半径</w:t>
            </w:r>
          </w:p>
          <w:p w:rsidR="00617D9B" w:rsidRPr="0088071A" w:rsidRDefault="00617D9B" w:rsidP="00D72CA2">
            <w:pPr>
              <w:pStyle w:val="afffff6"/>
            </w:pPr>
            <w:r w:rsidRPr="0088071A">
              <w:rPr>
                <w:rFonts w:hint="eastAsia"/>
              </w:rPr>
              <w:t>R(</w:t>
            </w:r>
            <w:r w:rsidRPr="0088071A">
              <w:rPr>
                <w:rFonts w:hint="eastAsia"/>
              </w:rPr>
              <w:t>控制脱空面积</w:t>
            </w:r>
            <w:r w:rsidRPr="0088071A">
              <w:rPr>
                <w:rFonts w:hint="eastAsia"/>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bookmarkStart w:id="9" w:name="_Hlk533772136"/>
            <w:r w:rsidRPr="0088071A">
              <w:rPr>
                <w:rFonts w:hint="eastAsia"/>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bookmarkEnd w:id="9"/>
      <w:tr w:rsidR="00617D9B" w:rsidRPr="0088071A"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2</w:t>
            </w:r>
            <w:r w:rsidRPr="0088071A">
              <w:rPr>
                <w:rFonts w:hint="eastAsia"/>
              </w:rPr>
              <w:t>、基础变形验算</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3</w:t>
            </w:r>
            <w:r w:rsidRPr="0088071A">
              <w:rPr>
                <w:rFonts w:hint="eastAsia"/>
              </w:rPr>
              <w:t>、基础稳定性验算</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bl>
    <w:p w:rsidR="00617D9B" w:rsidRPr="0088071A" w:rsidRDefault="00617D9B" w:rsidP="00617D9B">
      <w:pPr>
        <w:ind w:firstLine="480"/>
        <w:rPr>
          <w:lang w:val="en-GB"/>
        </w:rPr>
      </w:pP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扩展基础</w:t>
      </w:r>
      <w:r w:rsidRPr="0088071A">
        <w:rPr>
          <w:lang w:val="en-GB"/>
        </w:rPr>
        <w:t>。基础底面圆直径</w:t>
      </w:r>
      <w:r w:rsidR="00C03DE8"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6.0</w:t>
      </w:r>
      <w:r w:rsidRPr="0088071A">
        <w:rPr>
          <w:lang w:val="en-GB"/>
        </w:rPr>
        <w:t>m</w:t>
      </w:r>
      <w:r w:rsidRPr="0088071A">
        <w:rPr>
          <w:lang w:val="en-GB"/>
        </w:rPr>
        <w:t>；基础底板外缘高度</w:t>
      </w:r>
      <w:r w:rsidR="00C03DE8"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1.6</w:t>
      </w:r>
      <w:r w:rsidRPr="0088071A">
        <w:rPr>
          <w:lang w:val="en-GB"/>
        </w:rPr>
        <w:t>m</w:t>
      </w:r>
      <w:r w:rsidRPr="0088071A">
        <w:rPr>
          <w:lang w:val="en-GB"/>
        </w:rPr>
        <w:t>，基础台柱高度</w:t>
      </w:r>
      <w:r w:rsidR="00C03DE8" w:rsidRPr="0088071A">
        <w:t>1.0</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w:t>
      </w:r>
      <w:proofErr w:type="gramStart"/>
      <w:r w:rsidR="007A566E" w:rsidRPr="00D3669E">
        <w:t>不</w:t>
      </w:r>
      <w:proofErr w:type="gramEnd"/>
      <w:r w:rsidR="007A566E" w:rsidRPr="00D3669E">
        <w:t>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617D9B" w:rsidRPr="0088071A" w:rsidRDefault="00617D9B" w:rsidP="00617D9B">
      <w:pPr>
        <w:ind w:firstLine="480"/>
        <w:rPr>
          <w:lang w:val="en-GB"/>
        </w:rPr>
      </w:pPr>
      <w:r w:rsidRPr="0088071A">
        <w:rPr>
          <w:lang w:val="en-GB"/>
        </w:rPr>
        <w:t>经初步计算，风机基础主要工程量如表</w:t>
      </w:r>
      <w:r w:rsidRPr="0088071A">
        <w:rPr>
          <w:lang w:val="en-GB"/>
        </w:rPr>
        <w:t>8-3</w:t>
      </w:r>
      <w:r w:rsidRPr="0088071A">
        <w:rPr>
          <w:lang w:val="en-GB"/>
        </w:rPr>
        <w:t>所示。</w:t>
      </w:r>
    </w:p>
    <w:p w:rsidR="00617D9B" w:rsidRPr="0088071A" w:rsidRDefault="00617D9B" w:rsidP="00617D9B">
      <w:pPr>
        <w:ind w:firstLine="480"/>
      </w:pPr>
      <w:r w:rsidRPr="0088071A">
        <w:rPr>
          <w:rFonts w:hint="eastAsia"/>
        </w:rPr>
        <w:t>表</w:t>
      </w:r>
      <w:r w:rsidRPr="0088071A">
        <w:rPr>
          <w:rFonts w:hint="eastAsia"/>
        </w:rPr>
        <w:t xml:space="preserve"> </w:t>
      </w:r>
      <w:r w:rsidRPr="0088071A">
        <w:rPr>
          <w:noProof/>
        </w:rPr>
        <w:fldChar w:fldCharType="begin"/>
      </w:r>
      <w:r w:rsidRPr="0088071A">
        <w:rPr>
          <w:noProof/>
        </w:rPr>
        <w:instrText xml:space="preserve"> STYLEREF  \s 1 </w:instrText>
      </w:r>
      <w:r w:rsidRPr="0088071A">
        <w:rPr>
          <w:noProof/>
        </w:rPr>
        <w:fldChar w:fldCharType="separate"/>
      </w:r>
      <w:r w:rsidRPr="0088071A">
        <w:rPr>
          <w:noProof/>
        </w:rPr>
        <w:t>8</w:t>
      </w:r>
      <w:r w:rsidRPr="0088071A">
        <w:rPr>
          <w:noProof/>
        </w:rPr>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4</w:t>
      </w:r>
      <w:r w:rsidRPr="0088071A">
        <w:fldChar w:fldCharType="end"/>
      </w:r>
      <w:r w:rsidRPr="0088071A">
        <w:t xml:space="preserve">  </w:t>
      </w:r>
      <w:r w:rsidRPr="0088071A">
        <w:t>风机基础工程量表</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Pr="0088071A">
        <w:t>8</w:t>
      </w:r>
      <w:r w:rsidRPr="0088071A">
        <w:noBreakHyphen/>
        <w:t xml:space="preserve">4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10"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84</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1" w:name="_Hlk5562579"/>
            <w:r w:rsidRPr="0088071A">
              <w:t>1257.29</w:t>
            </w:r>
            <w:bookmarkEnd w:id="11"/>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105612.36</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314.32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26402.88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920.16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lastRenderedPageBreak/>
              <w:t xml:space="preserve">77293.44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600.97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50481.48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4240.32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5048.4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84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336</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10"/>
    <w:p w:rsidR="00617D9B" w:rsidRPr="0088071A" w:rsidRDefault="00617D9B" w:rsidP="00617D9B">
      <w:pPr>
        <w:pStyle w:val="a3"/>
        <w:spacing w:before="468" w:after="156"/>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根据本阶段勘探成果及收集到的资料，拟建场区地貌类型属构造侵蚀低中山、中山地貌类型，场区地层岩性主要为残坡积土、变余砂岩及绢云母板岩等，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植被较发育，人类工程活动简单，现场踏勘未发现滑坡、崩塌和泥石流灾害，也没发现有软土地基，无须进行地基处理。</w:t>
      </w:r>
    </w:p>
    <w:p w:rsidR="00617D9B" w:rsidRPr="0088071A" w:rsidRDefault="00617D9B" w:rsidP="00617D9B">
      <w:pPr>
        <w:pStyle w:val="a3"/>
        <w:spacing w:before="468" w:after="156"/>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t>本项目风机机位均布置在山顶及山脊处，均高于重现期</w:t>
      </w:r>
      <w:r w:rsidR="005C4BE2" w:rsidRPr="0088071A">
        <w:t>待提交</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68" w:after="156"/>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w:t>
      </w:r>
      <w:r w:rsidRPr="0088071A">
        <w:rPr>
          <w:rFonts w:hint="eastAsia"/>
          <w:lang w:val="en-GB"/>
        </w:rPr>
        <w:lastRenderedPageBreak/>
        <w:t>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68" w:after="156"/>
      </w:pPr>
      <w:r w:rsidRPr="0088071A">
        <w:rPr>
          <w:rFonts w:hint="eastAsia"/>
        </w:rPr>
        <w:t>8.3.</w:t>
      </w:r>
      <w:r w:rsidRPr="0088071A">
        <w:t>5</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w:t>
      </w:r>
      <w:bookmarkStart w:id="12" w:name="_GoBack"/>
      <w:bookmarkEnd w:id="12"/>
      <w:r w:rsidRPr="00B25365">
        <w:rPr>
          <w:rFonts w:hint="eastAsia"/>
          <w:lang w:val="en-GB"/>
        </w:rPr>
        <w:t>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Pr="0088071A">
        <w:noBreakHyphen/>
        <w:t xml:space="preserve">5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84</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44.8</w:t>
            </w:r>
          </w:p>
        </w:tc>
        <w:tc>
          <w:tcPr>
            <w:tcW w:w="1257" w:type="pct"/>
            <w:shd w:val="clear" w:color="auto" w:fill="auto"/>
            <w:vAlign w:val="center"/>
            <w:hideMark/>
          </w:tcPr>
          <w:p w:rsidR="00025426" w:rsidRPr="0088071A" w:rsidRDefault="00025426" w:rsidP="00025426">
            <w:pPr>
              <w:pStyle w:val="aff0"/>
              <w:jc w:val="center"/>
            </w:pPr>
            <w:r w:rsidRPr="0088071A">
              <w:t xml:space="preserve">3763.2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11.2</w:t>
            </w:r>
          </w:p>
        </w:tc>
        <w:tc>
          <w:tcPr>
            <w:tcW w:w="1257" w:type="pct"/>
            <w:shd w:val="clear" w:color="auto" w:fill="auto"/>
            <w:vAlign w:val="center"/>
          </w:tcPr>
          <w:p w:rsidR="00025426" w:rsidRPr="0088071A" w:rsidRDefault="00025426" w:rsidP="00025426">
            <w:pPr>
              <w:pStyle w:val="aff0"/>
              <w:jc w:val="center"/>
            </w:pPr>
            <w:r w:rsidRPr="0088071A">
              <w:t xml:space="preserve">940.8</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17.6</w:t>
            </w:r>
          </w:p>
        </w:tc>
        <w:tc>
          <w:tcPr>
            <w:tcW w:w="1257" w:type="pct"/>
            <w:shd w:val="clear" w:color="auto" w:fill="auto"/>
            <w:vAlign w:val="center"/>
          </w:tcPr>
          <w:p w:rsidR="00025426" w:rsidRPr="0088071A" w:rsidRDefault="00025426" w:rsidP="00025426">
            <w:pPr>
              <w:pStyle w:val="aff0"/>
              <w:jc w:val="center"/>
            </w:pPr>
            <w:r w:rsidRPr="0088071A">
              <w:t xml:space="preserve">1478.4</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2.38</w:t>
            </w:r>
          </w:p>
        </w:tc>
        <w:tc>
          <w:tcPr>
            <w:tcW w:w="1257" w:type="pct"/>
            <w:shd w:val="clear" w:color="auto" w:fill="auto"/>
            <w:vAlign w:val="center"/>
          </w:tcPr>
          <w:p w:rsidR="00025426" w:rsidRPr="0088071A" w:rsidRDefault="00025426" w:rsidP="00025426">
            <w:pPr>
              <w:pStyle w:val="aff0"/>
              <w:jc w:val="center"/>
            </w:pPr>
            <w:r w:rsidRPr="0088071A">
              <w:t>199.9</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5.25</w:t>
            </w:r>
          </w:p>
        </w:tc>
        <w:tc>
          <w:tcPr>
            <w:tcW w:w="1257" w:type="pct"/>
            <w:shd w:val="clear" w:color="auto" w:fill="auto"/>
            <w:vAlign w:val="center"/>
          </w:tcPr>
          <w:p w:rsidR="00025426" w:rsidRPr="0088071A" w:rsidRDefault="00025426" w:rsidP="00025426">
            <w:pPr>
              <w:pStyle w:val="aff0"/>
              <w:jc w:val="center"/>
            </w:pPr>
            <w:r w:rsidRPr="0088071A">
              <w:t>441.0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6.18</w:t>
            </w:r>
          </w:p>
        </w:tc>
        <w:tc>
          <w:tcPr>
            <w:tcW w:w="1257" w:type="pct"/>
            <w:shd w:val="clear" w:color="auto" w:fill="auto"/>
            <w:vAlign w:val="center"/>
          </w:tcPr>
          <w:p w:rsidR="00025426" w:rsidRPr="0088071A" w:rsidRDefault="00025426" w:rsidP="00025426">
            <w:pPr>
              <w:pStyle w:val="aff0"/>
              <w:jc w:val="center"/>
            </w:pPr>
            <w:r w:rsidRPr="0088071A">
              <w:t>519.1</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0.24</w:t>
            </w:r>
          </w:p>
        </w:tc>
        <w:tc>
          <w:tcPr>
            <w:tcW w:w="1257" w:type="pct"/>
            <w:shd w:val="clear" w:color="auto" w:fill="auto"/>
            <w:vAlign w:val="center"/>
          </w:tcPr>
          <w:p w:rsidR="00025426" w:rsidRPr="0088071A" w:rsidRDefault="00025426" w:rsidP="00025426">
            <w:pPr>
              <w:pStyle w:val="aff0"/>
              <w:jc w:val="center"/>
            </w:pPr>
            <w:r w:rsidRPr="0088071A">
              <w:t xml:space="preserve">20.2</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3" w:name="_Toc199438459"/>
      <w:bookmarkStart w:id="14" w:name="_Toc274588434"/>
      <w:bookmarkStart w:id="15" w:name="_Toc275459669"/>
      <w:bookmarkStart w:id="16" w:name="_Toc349683032"/>
      <w:bookmarkStart w:id="17"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lastRenderedPageBreak/>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施工过程中按定位好的路线进行沟槽的开挖，深度为图纸规定尺寸，开挖完毕后安装热镀锌扁钢及垂直接地极。土方施工过程中由质检员监督检查保证满足设计要求。</w:t>
      </w:r>
    </w:p>
    <w:p w:rsidR="00617D9B" w:rsidRPr="0088071A" w:rsidRDefault="00617D9B" w:rsidP="00617D9B">
      <w:pPr>
        <w:pStyle w:val="2"/>
        <w:spacing w:before="156"/>
      </w:pPr>
      <w:bookmarkStart w:id="18" w:name="_Toc516838904"/>
      <w:bookmarkStart w:id="19" w:name="_Toc528163141"/>
      <w:bookmarkStart w:id="20" w:name="_Toc516825125"/>
      <w:bookmarkEnd w:id="13"/>
      <w:bookmarkEnd w:id="14"/>
      <w:bookmarkEnd w:id="15"/>
      <w:bookmarkEnd w:id="16"/>
      <w:bookmarkEnd w:id="17"/>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8"/>
      <w:bookmarkEnd w:id="19"/>
    </w:p>
    <w:p w:rsidR="00617D9B" w:rsidRPr="0088071A" w:rsidRDefault="00617D9B" w:rsidP="00617D9B">
      <w:pPr>
        <w:ind w:firstLine="480"/>
      </w:pPr>
      <w:r w:rsidRPr="0088071A">
        <w:rPr>
          <w:rFonts w:hint="eastAsia"/>
        </w:rPr>
        <w:t>本风电场工程拟新建一座</w:t>
      </w:r>
      <w:r w:rsidR="001923C4" w:rsidRPr="0088071A">
        <w:t>110</w:t>
      </w:r>
      <w:r w:rsidRPr="0088071A">
        <w:rPr>
          <w:rFonts w:hint="eastAsia"/>
        </w:rPr>
        <w:t>kV</w:t>
      </w:r>
      <w:r w:rsidRPr="0088071A">
        <w:rPr>
          <w:rFonts w:hint="eastAsia"/>
        </w:rPr>
        <w:t>变电站。变电站的主要建筑物和构筑物有综合楼、设备楼、水泵楼、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lastRenderedPageBreak/>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变电工区设备运输门采用铁艺平开门。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站内道路本着方便检修、巡视、消防、便于分区管理的原则进行设计，采用城市型道路，砼路面。道宽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DD4B10" w:rsidP="00617D9B">
      <w:pPr>
        <w:ind w:firstLine="480"/>
      </w:pPr>
      <w:r w:rsidRPr="0088071A">
        <w:t>110</w:t>
      </w:r>
      <w:r w:rsidR="00617D9B" w:rsidRPr="0088071A">
        <w:rPr>
          <w:rFonts w:hint="eastAsia"/>
        </w:rPr>
        <w:t>kV</w:t>
      </w:r>
      <w:r w:rsidR="00617D9B" w:rsidRPr="0088071A">
        <w:rPr>
          <w:rFonts w:hint="eastAsia"/>
        </w:rPr>
        <w:t>变电站总平面布置图详见附图。</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w:t>
      </w:r>
      <w:r w:rsidRPr="0088071A">
        <w:rPr>
          <w:rFonts w:hint="eastAsia"/>
        </w:rPr>
        <w:lastRenderedPageBreak/>
        <w:t>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Pr="0088071A">
        <w:rPr>
          <w:lang w:val="en-GB"/>
        </w:rPr>
        <w:t>7</w:t>
      </w:r>
      <w:r w:rsidRPr="0088071A">
        <w:rPr>
          <w:rFonts w:hint="eastAsia"/>
        </w:rPr>
        <w:t>。</w:t>
      </w:r>
    </w:p>
    <w:p w:rsidR="00617D9B" w:rsidRPr="0088071A" w:rsidRDefault="00617D9B" w:rsidP="00617D9B">
      <w:pPr>
        <w:pStyle w:val="ad"/>
      </w:pPr>
      <w:bookmarkStart w:id="21" w:name="_Ref516756899"/>
      <w:r w:rsidRPr="0088071A">
        <w:rPr>
          <w:rFonts w:hint="eastAsia"/>
        </w:rPr>
        <w:t>表</w:t>
      </w:r>
      <w:r w:rsidRPr="0088071A">
        <w:rPr>
          <w:rFonts w:hint="eastAsia"/>
        </w:rPr>
        <w:t xml:space="preserve">8- </w:t>
      </w:r>
      <w:bookmarkEnd w:id="21"/>
      <w:r w:rsidRPr="0088071A">
        <w:t>7</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6"/>
        <w:gridCol w:w="3721"/>
        <w:gridCol w:w="1052"/>
        <w:gridCol w:w="1067"/>
        <w:gridCol w:w="990"/>
        <w:gridCol w:w="910"/>
      </w:tblGrid>
      <w:tr w:rsidR="00617D9B" w:rsidRPr="0088071A" w:rsidTr="00D72CA2">
        <w:trPr>
          <w:trHeight w:val="340"/>
          <w:tblHeader/>
          <w:jc w:val="center"/>
        </w:trPr>
        <w:tc>
          <w:tcPr>
            <w:tcW w:w="444"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699"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743"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752"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362"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D72CA2">
        <w:trPr>
          <w:trHeight w:val="340"/>
          <w:tblHeader/>
          <w:jc w:val="center"/>
        </w:trPr>
        <w:tc>
          <w:tcPr>
            <w:tcW w:w="444"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699"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743"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752"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666"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696"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p>
        </w:tc>
        <w:tc>
          <w:tcPr>
            <w:tcW w:w="1699" w:type="pct"/>
            <w:noWrap/>
            <w:tcMar>
              <w:top w:w="13" w:type="dxa"/>
              <w:left w:w="13" w:type="dxa"/>
              <w:bottom w:w="0" w:type="dxa"/>
              <w:right w:w="13" w:type="dxa"/>
            </w:tcMar>
            <w:vAlign w:val="center"/>
          </w:tcPr>
          <w:p w:rsidR="00617D9B" w:rsidRPr="0088071A" w:rsidRDefault="00DD4B10" w:rsidP="00D72CA2">
            <w:pPr>
              <w:pStyle w:val="aff0"/>
              <w:jc w:val="center"/>
            </w:pPr>
            <w:r w:rsidRPr="0088071A">
              <w:t>110</w:t>
            </w:r>
            <w:r w:rsidR="00617D9B" w:rsidRPr="0088071A">
              <w:t>kV</w:t>
            </w:r>
            <w:r w:rsidR="00617D9B" w:rsidRPr="0088071A">
              <w:t>变电站建筑</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p>
        </w:tc>
        <w:tc>
          <w:tcPr>
            <w:tcW w:w="666" w:type="pct"/>
            <w:noWrap/>
            <w:tcMar>
              <w:top w:w="13" w:type="dxa"/>
              <w:left w:w="13" w:type="dxa"/>
              <w:bottom w:w="0" w:type="dxa"/>
              <w:right w:w="13" w:type="dxa"/>
            </w:tcMar>
            <w:vAlign w:val="center"/>
          </w:tcPr>
          <w:p w:rsidR="00617D9B" w:rsidRPr="0088071A" w:rsidRDefault="00617D9B" w:rsidP="00D72CA2">
            <w:pPr>
              <w:pStyle w:val="aff0"/>
              <w:jc w:val="center"/>
            </w:pPr>
          </w:p>
        </w:tc>
        <w:tc>
          <w:tcPr>
            <w:tcW w:w="696" w:type="pct"/>
            <w:vAlign w:val="center"/>
          </w:tcPr>
          <w:p w:rsidR="00617D9B" w:rsidRPr="0088071A" w:rsidRDefault="00617D9B" w:rsidP="00D72CA2">
            <w:pPr>
              <w:pStyle w:val="aff0"/>
              <w:jc w:val="center"/>
            </w:pP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1</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综合楼</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2</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设备楼</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3</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附属</w:t>
            </w:r>
            <w:r w:rsidRPr="0088071A">
              <w:t>房</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4</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屋外配电装置架构及支架</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lastRenderedPageBreak/>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t>事故油池为地下箱型基础，采用</w:t>
      </w:r>
      <w:r w:rsidRPr="0088071A">
        <w:rPr>
          <w:rFonts w:hint="eastAsia"/>
        </w:rPr>
        <w:t>C30</w:t>
      </w:r>
      <w:r w:rsidRPr="0088071A">
        <w:rPr>
          <w:rFonts w:hint="eastAsia"/>
        </w:rPr>
        <w:t>钢筋混凝土浇筑。</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w:t>
      </w:r>
      <w:r w:rsidRPr="0088071A">
        <w:rPr>
          <w:rFonts w:hint="eastAsia"/>
        </w:rPr>
        <w:lastRenderedPageBreak/>
        <w:t>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w:t>
      </w:r>
      <w:r w:rsidRPr="0088071A">
        <w:rPr>
          <w:rFonts w:hint="eastAsia"/>
        </w:rPr>
        <w:lastRenderedPageBreak/>
        <w:t>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t>8</w:t>
      </w:r>
      <w:r w:rsidRPr="0088071A">
        <w:fldChar w:fldCharType="end"/>
      </w:r>
      <w:r w:rsidRPr="0088071A">
        <w:t xml:space="preserve">  </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2"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10186.41</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12305.51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29533.23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7383.31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6152.76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201.91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1993.67</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3" w:name="_Toc528163142"/>
      <w:bookmarkEnd w:id="22"/>
      <w:r w:rsidRPr="0088071A">
        <w:rPr>
          <w:rFonts w:hint="eastAsia"/>
        </w:rPr>
        <w:lastRenderedPageBreak/>
        <w:t xml:space="preserve">8.5 </w:t>
      </w:r>
      <w:r w:rsidRPr="0088071A">
        <w:rPr>
          <w:rFonts w:hint="eastAsia"/>
        </w:rPr>
        <w:t>道路设计</w:t>
      </w:r>
      <w:bookmarkEnd w:id="20"/>
      <w:bookmarkEnd w:id="23"/>
    </w:p>
    <w:p w:rsidR="007361D5" w:rsidRDefault="00617D9B" w:rsidP="00650B28">
      <w:pPr>
        <w:ind w:firstLine="480"/>
        <w:rPr>
          <w:lang w:val="en-GB"/>
        </w:rPr>
      </w:pPr>
      <w:r w:rsidRPr="0088071A">
        <w:rPr>
          <w:rFonts w:hint="eastAsia"/>
          <w:lang w:val="en-GB"/>
        </w:rPr>
        <w:t>根据现有资料，本项目需改扩建道路</w:t>
      </w:r>
      <w:r w:rsidR="009E062C" w:rsidRPr="009E062C">
        <w:rPr>
          <w:rFonts w:hint="eastAsia"/>
          <w:lang w:val="en-GB"/>
        </w:rPr>
        <w:t>5.0</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9E062C" w:rsidRPr="009E062C">
        <w:rPr>
          <w:rFonts w:hint="eastAsia"/>
          <w:lang w:val="en-GB"/>
        </w:rPr>
        <w:t>1.5</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9E062C">
        <w:rPr>
          <w:rFonts w:hint="eastAsia"/>
          <w:lang w:val="en-GB"/>
        </w:rPr>
        <w:t>10.0</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Pr="0088071A">
        <w:noBreakHyphen/>
        <w:t>8</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712.5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84</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151200.0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2880.0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241920.0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60480.0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151200.0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1596.0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2F3D5C" w:rsidRDefault="002F3D5C" w:rsidP="00C00B71">
      <w:pPr>
        <w:ind w:firstLine="480"/>
      </w:pPr>
    </w:p>
    <w:p w:rsidR="002F3D5C" w:rsidRDefault="002F3D5C" w:rsidP="002F3D5C">
      <w:pPr>
        <w:ind w:firstLineChars="0" w:firstLine="0"/>
      </w:pPr>
    </w:p>
    <w:sectPr w:rsidR="002F3D5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943" w:rsidRDefault="006F6943">
      <w:pPr>
        <w:spacing w:line="240" w:lineRule="auto"/>
        <w:ind w:firstLine="480"/>
      </w:pPr>
      <w:r>
        <w:separator/>
      </w:r>
    </w:p>
  </w:endnote>
  <w:endnote w:type="continuationSeparator" w:id="0">
    <w:p w:rsidR="006F6943" w:rsidRDefault="006F694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943" w:rsidRDefault="006F6943">
      <w:pPr>
        <w:spacing w:line="240" w:lineRule="auto"/>
        <w:ind w:firstLine="480"/>
      </w:pPr>
      <w:r>
        <w:separator/>
      </w:r>
    </w:p>
  </w:footnote>
  <w:footnote w:type="continuationSeparator" w:id="0">
    <w:p w:rsidR="006F6943" w:rsidRDefault="006F694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25426"/>
    <w:rsid w:val="0003199D"/>
    <w:rsid w:val="00042F8E"/>
    <w:rsid w:val="0007237F"/>
    <w:rsid w:val="00113772"/>
    <w:rsid w:val="001461F0"/>
    <w:rsid w:val="001648C1"/>
    <w:rsid w:val="001923C4"/>
    <w:rsid w:val="001D430C"/>
    <w:rsid w:val="001E4206"/>
    <w:rsid w:val="00202C9A"/>
    <w:rsid w:val="002047A5"/>
    <w:rsid w:val="00204F6B"/>
    <w:rsid w:val="00206799"/>
    <w:rsid w:val="00273D86"/>
    <w:rsid w:val="002C53B4"/>
    <w:rsid w:val="002F3D5C"/>
    <w:rsid w:val="003600D1"/>
    <w:rsid w:val="003621AB"/>
    <w:rsid w:val="00395517"/>
    <w:rsid w:val="003C6444"/>
    <w:rsid w:val="004D08BE"/>
    <w:rsid w:val="004E6099"/>
    <w:rsid w:val="004F1D6A"/>
    <w:rsid w:val="00544762"/>
    <w:rsid w:val="005C4BE2"/>
    <w:rsid w:val="00603688"/>
    <w:rsid w:val="00615F7C"/>
    <w:rsid w:val="00617D9B"/>
    <w:rsid w:val="00650B28"/>
    <w:rsid w:val="006626A9"/>
    <w:rsid w:val="00667AC5"/>
    <w:rsid w:val="006E54E8"/>
    <w:rsid w:val="006F1D0C"/>
    <w:rsid w:val="006F6943"/>
    <w:rsid w:val="006F7819"/>
    <w:rsid w:val="007361D5"/>
    <w:rsid w:val="00773B19"/>
    <w:rsid w:val="007A1895"/>
    <w:rsid w:val="007A566E"/>
    <w:rsid w:val="008073FE"/>
    <w:rsid w:val="0088071A"/>
    <w:rsid w:val="0089263A"/>
    <w:rsid w:val="008B7970"/>
    <w:rsid w:val="008D76E0"/>
    <w:rsid w:val="00913BA1"/>
    <w:rsid w:val="009178D2"/>
    <w:rsid w:val="00987313"/>
    <w:rsid w:val="009C7B99"/>
    <w:rsid w:val="009E062C"/>
    <w:rsid w:val="00AA4340"/>
    <w:rsid w:val="00AC30C0"/>
    <w:rsid w:val="00AC382A"/>
    <w:rsid w:val="00AD07CB"/>
    <w:rsid w:val="00AD55E9"/>
    <w:rsid w:val="00B25365"/>
    <w:rsid w:val="00B72171"/>
    <w:rsid w:val="00BC401A"/>
    <w:rsid w:val="00BC4D7B"/>
    <w:rsid w:val="00BD4620"/>
    <w:rsid w:val="00C00B71"/>
    <w:rsid w:val="00C00C81"/>
    <w:rsid w:val="00C03DE8"/>
    <w:rsid w:val="00C04903"/>
    <w:rsid w:val="00C177CD"/>
    <w:rsid w:val="00C3513E"/>
    <w:rsid w:val="00C35F90"/>
    <w:rsid w:val="00C7322B"/>
    <w:rsid w:val="00CF2E54"/>
    <w:rsid w:val="00D547B5"/>
    <w:rsid w:val="00D72CA2"/>
    <w:rsid w:val="00DD4B10"/>
    <w:rsid w:val="00DE3F1F"/>
    <w:rsid w:val="00E05B3A"/>
    <w:rsid w:val="00E101C7"/>
    <w:rsid w:val="00E36B37"/>
    <w:rsid w:val="00E4414F"/>
    <w:rsid w:val="00E45B67"/>
    <w:rsid w:val="00EA76CB"/>
    <w:rsid w:val="00EF1148"/>
    <w:rsid w:val="00EF7E43"/>
    <w:rsid w:val="00F26EAA"/>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Tencent" w:url="http://rtx.tencent.com" w:name="RTX"/>
  <w:smartTagType w:namespaceuri="urn:schemas-microsoft-com:office:smarttags" w:name="chmetcnv"/>
  <w:shapeDefaults>
    <o:shapedefaults v:ext="edit" spidmax="2049"/>
    <o:shapelayout v:ext="edit">
      <o:idmap v:ext="edit" data="1"/>
    </o:shapelayout>
  </w:shapeDefaults>
  <w:decimalSymbol w:val="."/>
  <w:listSeparator w:val=","/>
  <w14:docId w14:val="256AA8AD"/>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0" Type="http://schemas.openxmlformats.org/officeDocument/2006/relationships/footer" Target="footer2.xml"/><Relationship Id="rId2" Type="http://schemas.openxmlformats.org/officeDocument/2006/relationships/styles" Target="styles.xml"/><Relationship Id="rId8" Type="http://schemas.openxmlformats.org/officeDocument/2006/relationships/header" Target="header2.xml"/><Relationship Id="rId7" Type="http://schemas.openxmlformats.org/officeDocument/2006/relationships/header" Target="header1.xml"/><Relationship Id="rId3" Type="http://schemas.openxmlformats.org/officeDocument/2006/relationships/settings" Target="settings.xml"/><Relationship Id="rId1" Type="http://schemas.openxmlformats.org/officeDocument/2006/relationships/numbering" Target="numbering.xml"/><Relationship Id="rId6" Type="http://schemas.openxmlformats.org/officeDocument/2006/relationships/endnotes" Target="endnotes.xml"/><Relationship Id="rId12" Type="http://schemas.openxmlformats.org/officeDocument/2006/relationships/footer" Target="footer3.xml"/><Relationship Id="rId11" Type="http://schemas.openxmlformats.org/officeDocument/2006/relationships/header" Target="header3.xml"/><Relationship Id="rId9" Type="http://schemas.openxmlformats.org/officeDocument/2006/relationships/footer" Target="footer1.xml"/><Relationship Id="rId4" Type="http://schemas.openxmlformats.org/officeDocument/2006/relationships/webSettings" Target="webSettings.xml"/><Relationship Id="rId14" Type="http://schemas.openxmlformats.org/officeDocument/2006/relationships/theme" Target="theme/theme1.xml"/><Relationship Id="rId13" Type="http://schemas.openxmlformats.org/officeDocument/2006/relationships/fontTable" Target="fontTable.xml"/><Relationship Id="rId5"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17</Pages>
  <Words>1782</Words>
  <Characters>10163</Characters>
  <Application>Microsoft Office Word</Application>
  <DocSecurity>0</DocSecurity>
  <Lines>84</Lines>
  <Paragraphs>23</Paragraphs>
  <ScaleCrop>false</ScaleCrop>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35</cp:revision>
  <dcterms:created xsi:type="dcterms:W3CDTF">2019-04-07T12:50:00Z</dcterms:created>
  <dcterms:modified xsi:type="dcterms:W3CDTF">2019-11-22T02:19:00Z</dcterms:modified>
</cp:coreProperties>
</file>