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6E77AC"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6E77AC"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6E77AC"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6E77AC"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6E77AC"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6E77AC"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6E77AC"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6E77AC"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6E77AC"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之间，总区域共</w:t>
      </w:r>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建设期贷款利息</w:t>
      </w:r>
      <w:r w:rsidR="002E66EA">
        <w:rPr>
          <w:highlight w:val="green"/>
        </w:rPr>
        <w:t>{{</w:t>
      </w:r>
      <w:r w:rsidR="002E66EA">
        <w:rPr>
          <w:highlight w:val="green"/>
        </w:rPr>
        <w:t>建设期贷款利息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w:t>
      </w:r>
      <w:r w:rsidRPr="00D3669E">
        <w:rPr>
          <w:rFonts w:hint="eastAsia"/>
        </w:rPr>
        <w:lastRenderedPageBreak/>
        <w:t>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w:t>
      </w:r>
      <w:r w:rsidRPr="00D3669E">
        <w:rPr>
          <w:rFonts w:hint="eastAsia"/>
        </w:rPr>
        <w:lastRenderedPageBreak/>
        <w:t>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。考虑了尾流影响折减、空气密度折减后，再综合考虑其它发电量的折减因素如可利用率折减等（综合折减系数为</w:t>
      </w:r>
      <w:r w:rsidR="007C7C7E">
        <w:rPr>
          <w:highlight w:val="green"/>
        </w:rPr>
        <w:t xml:space="preserve">{{ </w:t>
      </w:r>
      <w:r w:rsidR="007C7C7E">
        <w:rPr>
          <w:rFonts w:hint="eastAsia"/>
          <w:highlight w:val="green"/>
        </w:rPr>
        <w:t>折减率</w:t>
      </w:r>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lastRenderedPageBreak/>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lastRenderedPageBreak/>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，建设期贷款利息</w:t>
      </w:r>
      <w:r w:rsidR="002E66EA">
        <w:rPr>
          <w:highlight w:val="green"/>
        </w:rPr>
        <w:t>{{</w:t>
      </w:r>
      <w:r w:rsidR="002E66EA">
        <w:rPr>
          <w:highlight w:val="green"/>
        </w:rPr>
        <w:t>建设期贷款利息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w:t>
      </w:r>
      <w:r w:rsidRPr="00D3669E">
        <w:rPr>
          <w:rFonts w:hint="eastAsia"/>
        </w:rPr>
        <w:lastRenderedPageBreak/>
        <w:t>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lastRenderedPageBreak/>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的风力发电机组，风力发电机组较能适应本风电场的风况条件，发电效益较好，预计年上网电量为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MWh/yr</w:t>
      </w:r>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w:t>
      </w:r>
      <w:r w:rsidR="006E45B4">
        <w:rPr>
          <w:rFonts w:hint="eastAsia"/>
        </w:rPr>
        <w:lastRenderedPageBreak/>
        <w:t>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扫风面积</w:t>
            </w:r>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建设期贷款利息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{%tc endfor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4" w:name="__DdeLink__6997_957214208"/>
            <w:bookmarkEnd w:id="94"/>
            <w:r w:rsidRPr="00116AD1">
              <w:rPr>
                <w:rFonts w:ascii="Times New Roman" w:eastAsia="宋体" w:hAnsi="Times New Roman"/>
                <w:bCs/>
                <w:color w:val="000000"/>
                <w:sz w:val="24"/>
              </w:rPr>
              <w:t>{%tc endfor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扫风面积</w:t>
            </w:r>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myimage</w:t>
      </w:r>
      <w:r w:rsidRPr="00116AD1">
        <w:rPr>
          <w:rFonts w:ascii="Times New Roman" w:eastAsia="宋体" w:hAnsi="Times New Roman" w:hint="eastAsia"/>
          <w:sz w:val="24"/>
          <w:szCs w:val="22"/>
        </w:rPr>
        <w:t>0</w:t>
      </w:r>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5"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5"/>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6"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6"/>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7" w:name="OLE_LINK3"/>
      <w:bookmarkStart w:id="98" w:name="OLE_LINK4"/>
      <w:bookmarkStart w:id="99" w:name="OLE_LINK62"/>
      <w:bookmarkStart w:id="100" w:name="OLE_LINK63"/>
      <w:r w:rsidRPr="00116AD1">
        <w:rPr>
          <w:rFonts w:ascii="Times New Roman" w:eastAsia="宋体" w:hAnsi="Times New Roman"/>
          <w:sz w:val="24"/>
          <w:szCs w:val="22"/>
        </w:rPr>
        <w:t>{{</w:t>
      </w:r>
      <w:r w:rsidR="00222B4B">
        <w:rPr>
          <w:rFonts w:ascii="Times New Roman" w:eastAsia="宋体" w:hAnsi="Times New Roman" w:hint="eastAsia"/>
          <w:sz w:val="24"/>
          <w:szCs w:val="22"/>
        </w:rPr>
        <w:t>风场</w:t>
      </w:r>
      <w:r w:rsidRPr="00116AD1">
        <w:rPr>
          <w:rFonts w:ascii="Times New Roman" w:eastAsia="宋体" w:hAnsi="Times New Roman" w:hint="eastAsia"/>
          <w:sz w:val="24"/>
          <w:szCs w:val="22"/>
        </w:rPr>
        <w:t>面积</w:t>
      </w:r>
      <w:r w:rsidRPr="00116AD1">
        <w:rPr>
          <w:rFonts w:ascii="Times New Roman" w:eastAsia="宋体" w:hAnsi="Times New Roman"/>
          <w:sz w:val="24"/>
          <w:szCs w:val="22"/>
        </w:rPr>
        <w:t>}}</w:t>
      </w:r>
      <w:bookmarkEnd w:id="97"/>
      <w:bookmarkEnd w:id="98"/>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99"/>
      <w:bookmarkEnd w:id="100"/>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1" w:name="OLE_LINK11"/>
      <w:bookmarkStart w:id="102"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1"/>
      <w:bookmarkEnd w:id="102"/>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00501E1A">
        <w:rPr>
          <w:rFonts w:ascii="Times New Roman" w:eastAsia="宋体" w:hAnsi="Times New Roman" w:hint="eastAsia"/>
          <w:sz w:val="24"/>
          <w:szCs w:val="22"/>
        </w:rPr>
        <w:t>words</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00030717" w:rsidRPr="00030717">
        <w:rPr>
          <w:rFonts w:ascii="Times New Roman" w:eastAsia="宋体" w:hAnsi="Times New Roman" w:hint="eastAsia"/>
          <w:sz w:val="24"/>
          <w:szCs w:val="22"/>
        </w:rPr>
        <w:t>推荐机组数量</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3"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3"/>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colspan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塔筒投资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集电线路</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4"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4"/>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尾流修正后的总理论发电量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折减率备注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上网电量</w:t>
      </w:r>
      <w:r w:rsidRPr="00116AD1">
        <w:rPr>
          <w:rFonts w:ascii="Times New Roman" w:eastAsia="宋体" w:hAnsi="Times New Roman"/>
          <w:sz w:val="24"/>
          <w:szCs w:val="22"/>
        </w:rPr>
        <w:t xml:space="preserve"> }}MWh/yr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for col in result_labels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{%tc endfor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item.number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for col in </w:t>
            </w:r>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{%tc endfor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{%tr endfor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5" w:name="_Toc528163137"/>
      <w:r w:rsidRPr="00EA4096">
        <w:rPr>
          <w:rFonts w:hint="eastAsia"/>
        </w:rPr>
        <w:lastRenderedPageBreak/>
        <w:t>8</w:t>
      </w:r>
      <w:r w:rsidRPr="00EA4096">
        <w:rPr>
          <w:rFonts w:hint="eastAsia"/>
        </w:rPr>
        <w:t>土建工程</w:t>
      </w:r>
      <w:bookmarkEnd w:id="105"/>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6" w:name="_Toc516825121"/>
      <w:bookmarkStart w:id="107"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6"/>
      <w:bookmarkEnd w:id="107"/>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r w:rsidRPr="00EA4096">
        <w:rPr>
          <w:rFonts w:ascii="Times New Roman" w:eastAsia="宋体" w:hAnsi="Times New Roman"/>
          <w:sz w:val="24"/>
          <w:szCs w:val="22"/>
        </w:rPr>
        <w:t>TurbineCapacity</w:t>
      </w:r>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r w:rsidRPr="00EA4096">
        <w:rPr>
          <w:rFonts w:ascii="Times New Roman" w:eastAsia="宋体" w:hAnsi="Times New Roman"/>
          <w:sz w:val="24"/>
          <w:szCs w:val="22"/>
        </w:rPr>
        <w:t>turbine_numbers</w:t>
      </w:r>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r w:rsidRPr="00116AD1">
        <w:rPr>
          <w:rFonts w:ascii="Times New Roman" w:eastAsia="宋体" w:hAnsi="Times New Roman"/>
          <w:sz w:val="24"/>
          <w:szCs w:val="22"/>
          <w:lang w:val="en-GB"/>
        </w:rPr>
        <w:t>fortification_intensity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8" w:name="_Toc516825122"/>
      <w:bookmarkStart w:id="109"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8"/>
      <w:bookmarkEnd w:id="109"/>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0" w:name="_Toc516825123"/>
      <w:bookmarkStart w:id="111"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0"/>
      <w:bookmarkEnd w:id="111"/>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TurbineCapacity</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w:t>
      </w:r>
      <w:r w:rsidRPr="00116AD1">
        <w:rPr>
          <w:rFonts w:ascii="Times New Roman" w:eastAsia="宋体" w:hAnsi="Times New Roman"/>
          <w:sz w:val="24"/>
          <w:szCs w:val="22"/>
          <w:lang w:val="en-GB"/>
        </w:rPr>
        <w:t>turbine_numbers</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2"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2"/>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3"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turbine_numbers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4"/>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3"/>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number</w:t>
            </w:r>
            <w:r w:rsidRPr="000F7FFB">
              <w:rPr>
                <w:rFonts w:ascii="Times New Roman" w:eastAsia="宋体" w:hAnsi="Times New Roman"/>
                <w:sz w:val="24"/>
                <w:szCs w:val="22"/>
              </w:rPr>
              <w:t>s_box_voltage</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5" w:name="_Toc199438459"/>
      <w:bookmarkStart w:id="116" w:name="_Toc274588434"/>
      <w:bookmarkStart w:id="117" w:name="_Toc275459669"/>
      <w:bookmarkStart w:id="118" w:name="_Toc349683032"/>
      <w:bookmarkStart w:id="119"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0" w:name="_Toc516838904"/>
      <w:bookmarkStart w:id="121" w:name="_Toc528163141"/>
      <w:bookmarkStart w:id="122" w:name="_Toc516825125"/>
      <w:bookmarkEnd w:id="115"/>
      <w:bookmarkEnd w:id="116"/>
      <w:bookmarkEnd w:id="117"/>
      <w:bookmarkEnd w:id="118"/>
      <w:bookmarkEnd w:id="119"/>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0"/>
      <w:bookmarkEnd w:id="121"/>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3"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3"/>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4"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含放坡面积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r w:rsidRPr="00116AD1">
              <w:rPr>
                <w:rFonts w:ascii="仿宋_GB2312" w:eastAsia="宋体" w:hAnsi="宋体" w:cs="Times New Roman" w:hint="eastAsia"/>
              </w:rPr>
              <w:t>升压站</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5" w:name="_Toc528163142"/>
      <w:bookmarkEnd w:id="124"/>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2"/>
      <w:bookmarkEnd w:id="125"/>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山皮石路面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6"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6"/>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7"/>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8"/>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设备存放场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风机基础及箱变</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升压站工程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集电线路</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29"/>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施工辅企</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0"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0"/>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1"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1"/>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2"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2"/>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3" w:name="_Toc519536314"/>
      <w:bookmarkStart w:id="134" w:name="_Toc528163151"/>
      <w:bookmarkStart w:id="135" w:name="_Toc23233993"/>
      <w:r w:rsidRPr="00D3669E">
        <w:rPr>
          <w:rFonts w:hint="eastAsia"/>
        </w:rPr>
        <w:t>10.1</w:t>
      </w:r>
      <w:r w:rsidRPr="00D3669E">
        <w:t xml:space="preserve"> </w:t>
      </w:r>
      <w:r w:rsidRPr="00D3669E">
        <w:rPr>
          <w:rFonts w:hint="eastAsia"/>
        </w:rPr>
        <w:t>环境保护</w:t>
      </w:r>
      <w:bookmarkEnd w:id="133"/>
      <w:bookmarkEnd w:id="134"/>
      <w:bookmarkEnd w:id="135"/>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6"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6"/>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7"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7"/>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8"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8"/>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39"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39"/>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0" w:name="_Ref519522180"/>
      <w:r w:rsidRPr="00D3669E">
        <w:rPr>
          <w:rFonts w:hint="eastAsia"/>
        </w:rPr>
        <w:t>表</w:t>
      </w:r>
      <w:r w:rsidRPr="00D3669E">
        <w:rPr>
          <w:rFonts w:hint="eastAsia"/>
        </w:rPr>
        <w:t xml:space="preserve">10- </w:t>
      </w:r>
      <w:bookmarkEnd w:id="140"/>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1" w:name="_Toc523238790"/>
      <w:bookmarkStart w:id="142" w:name="_Toc9609374"/>
      <w:bookmarkStart w:id="143" w:name="_Toc23233994"/>
      <w:r w:rsidRPr="00D3669E">
        <w:t xml:space="preserve">10.2 </w:t>
      </w:r>
      <w:r w:rsidRPr="00D3669E">
        <w:t>水土保持设计</w:t>
      </w:r>
      <w:bookmarkEnd w:id="141"/>
      <w:bookmarkEnd w:id="142"/>
      <w:bookmarkEnd w:id="143"/>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4" w:name="_Toc434855162"/>
      <w:bookmarkStart w:id="145" w:name="_Toc508028267"/>
      <w:bookmarkStart w:id="146" w:name="_Toc508715410"/>
      <w:bookmarkStart w:id="147" w:name="_Toc23233995"/>
      <w:bookmarkStart w:id="148" w:name="_Toc371605409"/>
      <w:bookmarkStart w:id="149" w:name="_Toc301658518"/>
      <w:bookmarkStart w:id="150" w:name="_Toc342069538"/>
      <w:bookmarkStart w:id="151" w:name="_Toc349683048"/>
      <w:bookmarkStart w:id="152" w:name="_Toc382400393"/>
      <w:bookmarkStart w:id="153" w:name="_Toc382467946"/>
      <w:bookmarkStart w:id="154"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4"/>
      <w:bookmarkEnd w:id="145"/>
      <w:bookmarkEnd w:id="146"/>
      <w:bookmarkEnd w:id="147"/>
    </w:p>
    <w:p w14:paraId="62A27FB5" w14:textId="362DC958" w:rsidR="00E30863" w:rsidRPr="00D3669E" w:rsidRDefault="00E30863" w:rsidP="00800579">
      <w:pPr>
        <w:pStyle w:val="2"/>
        <w:spacing w:before="312" w:after="312"/>
      </w:pPr>
      <w:bookmarkStart w:id="155" w:name="_Toc492990706"/>
      <w:bookmarkStart w:id="156" w:name="_Toc468417538"/>
      <w:bookmarkStart w:id="157" w:name="_Toc360183673"/>
      <w:bookmarkStart w:id="158" w:name="_Toc23233996"/>
      <w:bookmarkEnd w:id="148"/>
      <w:bookmarkEnd w:id="149"/>
      <w:bookmarkEnd w:id="150"/>
      <w:bookmarkEnd w:id="151"/>
      <w:bookmarkEnd w:id="152"/>
      <w:bookmarkEnd w:id="153"/>
      <w:bookmarkEnd w:id="154"/>
      <w:r w:rsidRPr="00D3669E">
        <w:t>1</w:t>
      </w:r>
      <w:r w:rsidR="00851675" w:rsidRPr="00D3669E">
        <w:t>1</w:t>
      </w:r>
      <w:r w:rsidRPr="00D3669E">
        <w:t xml:space="preserve">.1  </w:t>
      </w:r>
      <w:r w:rsidRPr="00D3669E">
        <w:t>劳动安全</w:t>
      </w:r>
      <w:bookmarkEnd w:id="155"/>
      <w:bookmarkEnd w:id="156"/>
      <w:bookmarkEnd w:id="157"/>
      <w:bookmarkEnd w:id="158"/>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59" w:name="_Toc468417539"/>
      <w:bookmarkStart w:id="160" w:name="_Toc492990707"/>
      <w:bookmarkStart w:id="161"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2"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59"/>
      <w:bookmarkEnd w:id="160"/>
      <w:bookmarkEnd w:id="161"/>
      <w:bookmarkEnd w:id="162"/>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3" w:name="_Toc348948845"/>
      <w:bookmarkStart w:id="164" w:name="_Toc347910617"/>
      <w:bookmarkStart w:id="165" w:name="_Toc350420412"/>
      <w:bookmarkStart w:id="166" w:name="_Toc347927372"/>
      <w:bookmarkStart w:id="167" w:name="_Toc352310331"/>
      <w:bookmarkStart w:id="168" w:name="_Toc347926885"/>
      <w:bookmarkStart w:id="169" w:name="_Toc347926380"/>
      <w:bookmarkStart w:id="170" w:name="_Toc349823872"/>
      <w:bookmarkStart w:id="171"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2"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3" w:name="_Toc347926621"/>
      <w:bookmarkStart w:id="174" w:name="_Toc347926887"/>
      <w:bookmarkStart w:id="175" w:name="_Toc347910619"/>
      <w:bookmarkStart w:id="176" w:name="_Toc347926382"/>
      <w:bookmarkStart w:id="177" w:name="_Toc349823874"/>
      <w:bookmarkStart w:id="178" w:name="_Toc350420414"/>
      <w:bookmarkStart w:id="179" w:name="_Toc347927374"/>
      <w:bookmarkStart w:id="180" w:name="_Toc348948847"/>
      <w:bookmarkEnd w:id="163"/>
      <w:bookmarkEnd w:id="164"/>
      <w:bookmarkEnd w:id="165"/>
      <w:bookmarkEnd w:id="166"/>
      <w:bookmarkEnd w:id="167"/>
      <w:bookmarkEnd w:id="168"/>
      <w:bookmarkEnd w:id="169"/>
      <w:bookmarkEnd w:id="170"/>
      <w:bookmarkEnd w:id="171"/>
      <w:bookmarkEnd w:id="172"/>
      <w:r w:rsidRPr="00D3669E">
        <w:t>1</w:t>
      </w:r>
      <w:r w:rsidR="008F58CB" w:rsidRPr="00D3669E">
        <w:t>1</w:t>
      </w:r>
      <w:r w:rsidRPr="00D3669E">
        <w:t xml:space="preserve">.2.4.2 </w:t>
      </w:r>
      <w:r w:rsidRPr="00D3669E">
        <w:t>职业卫生制度</w:t>
      </w:r>
      <w:bookmarkEnd w:id="173"/>
      <w:bookmarkEnd w:id="174"/>
      <w:bookmarkEnd w:id="175"/>
      <w:bookmarkEnd w:id="176"/>
      <w:bookmarkEnd w:id="177"/>
      <w:bookmarkEnd w:id="178"/>
      <w:bookmarkEnd w:id="179"/>
      <w:bookmarkEnd w:id="180"/>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1" w:name="_Toc350420415"/>
      <w:bookmarkStart w:id="182" w:name="_Toc348948848"/>
      <w:bookmarkStart w:id="183" w:name="_Toc349823875"/>
      <w:bookmarkStart w:id="184" w:name="_Toc352310332"/>
      <w:bookmarkStart w:id="185" w:name="_Toc347910620"/>
      <w:bookmarkStart w:id="186" w:name="_Toc347926622"/>
      <w:bookmarkStart w:id="187" w:name="_Toc347926383"/>
      <w:bookmarkStart w:id="188" w:name="_Toc347926888"/>
      <w:bookmarkStart w:id="189" w:name="_Toc347927375"/>
      <w:bookmarkStart w:id="190" w:name="_Toc352605249"/>
      <w:r w:rsidRPr="00D3669E">
        <w:t>1</w:t>
      </w:r>
      <w:r w:rsidR="008F58CB" w:rsidRPr="00D3669E">
        <w:t>1</w:t>
      </w:r>
      <w:r w:rsidRPr="00D3669E">
        <w:t xml:space="preserve">.2.4.3 </w:t>
      </w:r>
      <w:r w:rsidRPr="00D3669E">
        <w:t>职业病危害档案管理情况</w:t>
      </w:r>
      <w:bookmarkEnd w:id="181"/>
      <w:bookmarkEnd w:id="182"/>
      <w:bookmarkEnd w:id="183"/>
      <w:bookmarkEnd w:id="184"/>
      <w:bookmarkEnd w:id="185"/>
      <w:bookmarkEnd w:id="186"/>
      <w:bookmarkEnd w:id="187"/>
      <w:bookmarkEnd w:id="188"/>
      <w:bookmarkEnd w:id="189"/>
      <w:bookmarkEnd w:id="190"/>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1"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1"/>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2"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2"/>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3" w:name="_Toc360183675"/>
      <w:bookmarkStart w:id="194" w:name="_Toc468417540"/>
      <w:bookmarkStart w:id="195" w:name="_Toc492990708"/>
      <w:bookmarkStart w:id="196" w:name="_Toc23234000"/>
      <w:r w:rsidRPr="00D3669E">
        <w:t>1</w:t>
      </w:r>
      <w:r w:rsidR="008F58CB" w:rsidRPr="00D3669E">
        <w:t>1</w:t>
      </w:r>
      <w:r w:rsidRPr="00D3669E">
        <w:t xml:space="preserve">.5 </w:t>
      </w:r>
      <w:r w:rsidRPr="00D3669E">
        <w:t>结论</w:t>
      </w:r>
      <w:bookmarkEnd w:id="193"/>
      <w:bookmarkEnd w:id="194"/>
      <w:bookmarkEnd w:id="195"/>
      <w:r w:rsidRPr="00D3669E">
        <w:t>和建议</w:t>
      </w:r>
      <w:bookmarkEnd w:id="196"/>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7" w:name="_Toc333424204"/>
      <w:bookmarkStart w:id="198" w:name="_Toc339006970"/>
      <w:bookmarkStart w:id="199" w:name="_Toc451765827"/>
      <w:bookmarkStart w:id="200" w:name="_Toc459017191"/>
      <w:bookmarkStart w:id="201" w:name="_Toc508028283"/>
      <w:bookmarkStart w:id="202" w:name="_Toc508715426"/>
      <w:bookmarkStart w:id="203" w:name="_Toc512727806"/>
      <w:bookmarkStart w:id="204" w:name="_Toc523238797"/>
      <w:bookmarkStart w:id="205" w:name="_Toc23234001"/>
      <w:bookmarkStart w:id="206" w:name="_Toc402283284"/>
      <w:bookmarkStart w:id="207" w:name="_Toc496276912"/>
      <w:bookmarkStart w:id="208"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09" w:name="_Toc11590836"/>
      <w:bookmarkStart w:id="210" w:name="_Hlk11601490"/>
      <w:bookmarkStart w:id="211" w:name="_Toc499237524"/>
      <w:bookmarkStart w:id="212" w:name="_Toc508028286"/>
      <w:bookmarkStart w:id="213" w:name="_Toc508715429"/>
      <w:bookmarkStart w:id="214" w:name="_Toc512727809"/>
      <w:bookmarkStart w:id="215" w:name="_Toc523238800"/>
      <w:bookmarkStart w:id="216" w:name="_Toc20582056"/>
      <w:bookmarkStart w:id="217" w:name="_Toc23234004"/>
      <w:bookmarkEnd w:id="197"/>
      <w:bookmarkEnd w:id="198"/>
      <w:bookmarkEnd w:id="199"/>
      <w:bookmarkEnd w:id="200"/>
      <w:bookmarkEnd w:id="201"/>
      <w:bookmarkEnd w:id="202"/>
      <w:bookmarkEnd w:id="203"/>
      <w:bookmarkEnd w:id="204"/>
      <w:bookmarkEnd w:id="205"/>
      <w:bookmarkEnd w:id="206"/>
      <w:bookmarkEnd w:id="207"/>
      <w:bookmarkEnd w:id="208"/>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09"/>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8"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8"/>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19"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19"/>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bookmarkStart w:id="220" w:name="_GoBack"/>
      <w:bookmarkEnd w:id="220"/>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措施费</w:t>
      </w:r>
      <w:r w:rsidRPr="00803ABD">
        <w:rPr>
          <w:rFonts w:ascii="Times New Roman" w:eastAsia="宋体" w:hAnsi="Times New Roman" w:cs="宋体" w:hint="eastAsia"/>
          <w:sz w:val="24"/>
          <w:szCs w:val="22"/>
        </w:rPr>
        <w:t>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建筑增值税率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安装措施费利率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安装增值税率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建设期贷款利息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{%tr endfor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0"/>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之间，总区域共</w:t>
      </w:r>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个月。安装单机容量</w:t>
      </w:r>
      <w:bookmarkStart w:id="225"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5"/>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MWh/yr</w:t>
      </w:r>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建设期贷款利息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item.number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for col in </w:t>
            </w:r>
            <w:r w:rsidRPr="00803ABD">
              <w:rPr>
                <w:rFonts w:ascii="宋体" w:eastAsia="宋体" w:hAnsi="宋体" w:cs="Arial" w:hint="eastAsia"/>
                <w:kern w:val="0"/>
              </w:rPr>
              <w:t>i</w:t>
            </w:r>
            <w:r w:rsidRPr="00803ABD">
              <w:rPr>
                <w:rFonts w:ascii="宋体" w:eastAsia="宋体" w:hAnsi="宋体" w:cs="Arial"/>
                <w:kern w:val="0"/>
              </w:rPr>
              <w:t>tem.cols%}</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{%tc endfor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{%tc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{%tc endfor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list13_2[x].number }}{% vm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{%tc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{%tc endfor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endfor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1"/>
    <w:bookmarkEnd w:id="212"/>
    <w:bookmarkEnd w:id="213"/>
    <w:bookmarkEnd w:id="214"/>
    <w:bookmarkEnd w:id="215"/>
    <w:bookmarkEnd w:id="216"/>
    <w:bookmarkEnd w:id="217"/>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{%tc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{%tc endfor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item.number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for col in </w:t>
            </w:r>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{%tc endfor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{%tr endfor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{%tc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{%tc endfor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{%tc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{%tc endfor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item.number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for col in </w:t>
            </w:r>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{%tc endfor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{%tr endfor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MWh/yr</w:t>
      </w:r>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w:t>
            </w:r>
            <w:r w:rsidRPr="00BA75E5">
              <w:rPr>
                <w:rFonts w:hint="eastAsia"/>
                <w:highlight w:val="green"/>
              </w:rPr>
              <w:t>混凝土浇筑</w:t>
            </w:r>
            <w:r>
              <w:rPr>
                <w:rFonts w:hint="eastAsia"/>
                <w:highlight w:val="green"/>
              </w:rPr>
              <w:t>_</w:t>
            </w:r>
            <w:r>
              <w:rPr>
                <w:rFonts w:hint="eastAsia"/>
                <w:highlight w:val="green"/>
              </w:rPr>
              <w:t>水</w:t>
            </w:r>
            <w:r>
              <w:rPr>
                <w:highlight w:val="green"/>
              </w:rPr>
              <w:t>}}</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电</w:t>
            </w:r>
            <w:r w:rsidRPr="00CF4D02">
              <w:rPr>
                <w:highlight w:val="green"/>
              </w:rPr>
              <w:t>}}</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柴油</w:t>
            </w:r>
            <w:r w:rsidRPr="00CF4D02">
              <w:rPr>
                <w:highlight w:val="green"/>
              </w:rPr>
              <w:t>}}</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w:t>
            </w:r>
            <w:r w:rsidRPr="00CF4D02">
              <w:rPr>
                <w:rFonts w:hint="eastAsia"/>
                <w:highlight w:val="green"/>
              </w:rPr>
              <w:t>混凝土浇筑</w:t>
            </w:r>
            <w:r w:rsidRPr="00CF4D02">
              <w:rPr>
                <w:rFonts w:hint="eastAsia"/>
                <w:highlight w:val="green"/>
              </w:rPr>
              <w:t>_</w:t>
            </w:r>
            <w:r>
              <w:rPr>
                <w:rFonts w:hint="eastAsia"/>
                <w:highlight w:val="green"/>
              </w:rPr>
              <w:t>汽油</w:t>
            </w:r>
            <w:r w:rsidRPr="00CF4D02">
              <w:rPr>
                <w:highlight w:val="green"/>
              </w:rPr>
              <w:t>}}</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w:t>
            </w:r>
            <w:r>
              <w:rPr>
                <w:rFonts w:hint="eastAsia"/>
                <w:highlight w:val="green"/>
              </w:rPr>
              <w:t>钢筋</w:t>
            </w:r>
            <w:r w:rsidRPr="00CF4D02">
              <w:rPr>
                <w:rFonts w:hint="eastAsia"/>
                <w:highlight w:val="green"/>
              </w:rPr>
              <w:t>_</w:t>
            </w:r>
            <w:r>
              <w:rPr>
                <w:rFonts w:hint="eastAsia"/>
                <w:highlight w:val="green"/>
              </w:rPr>
              <w:t>汽油</w:t>
            </w:r>
            <w:r w:rsidRPr="00CF4D02">
              <w:rPr>
                <w:highlight w:val="green"/>
              </w:rPr>
              <w:t>}}</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w:t>
            </w:r>
            <w:r>
              <w:rPr>
                <w:rFonts w:hint="eastAsia"/>
                <w:highlight w:val="green"/>
              </w:rPr>
              <w:t>土石方开挖</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w:t>
            </w:r>
            <w:r>
              <w:rPr>
                <w:rFonts w:hint="eastAsia"/>
                <w:highlight w:val="green"/>
              </w:rPr>
              <w:t>土石方回填</w:t>
            </w:r>
            <w:r w:rsidRPr="00406483">
              <w:rPr>
                <w:rFonts w:hint="eastAsia"/>
                <w:highlight w:val="green"/>
              </w:rPr>
              <w:t>_</w:t>
            </w:r>
            <w:r w:rsidRPr="00406483">
              <w:rPr>
                <w:rFonts w:hint="eastAsia"/>
                <w:highlight w:val="green"/>
              </w:rPr>
              <w:t>柴油</w:t>
            </w:r>
            <w:r w:rsidRPr="00406483">
              <w:rPr>
                <w:highlight w:val="green"/>
              </w:rPr>
              <w:t>}}</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w:t>
            </w:r>
            <w:r>
              <w:rPr>
                <w:rFonts w:hint="eastAsia"/>
                <w:highlight w:val="green"/>
              </w:rPr>
              <w:t>合计</w:t>
            </w:r>
            <w:r>
              <w:rPr>
                <w:rFonts w:hint="eastAsia"/>
                <w:highlight w:val="green"/>
              </w:rPr>
              <w:t>_</w:t>
            </w:r>
            <w:r>
              <w:rPr>
                <w:rFonts w:hint="eastAsia"/>
                <w:highlight w:val="green"/>
              </w:rPr>
              <w:t>水</w:t>
            </w:r>
            <w:r>
              <w:rPr>
                <w:highlight w:val="green"/>
              </w:rPr>
              <w:t>}}</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电</w:t>
            </w:r>
            <w:r w:rsidRPr="00CF4D02">
              <w:rPr>
                <w:highlight w:val="green"/>
              </w:rPr>
              <w:t>}}</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柴油</w:t>
            </w:r>
            <w:r w:rsidRPr="00CF4D02">
              <w:rPr>
                <w:highlight w:val="green"/>
              </w:rPr>
              <w:t>}}</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w:t>
            </w:r>
            <w:r>
              <w:rPr>
                <w:rFonts w:hint="eastAsia"/>
                <w:highlight w:val="green"/>
              </w:rPr>
              <w:t>合计</w:t>
            </w:r>
            <w:r w:rsidRPr="00CF4D02">
              <w:rPr>
                <w:rFonts w:hint="eastAsia"/>
                <w:highlight w:val="green"/>
              </w:rPr>
              <w:t>_</w:t>
            </w:r>
            <w:r>
              <w:rPr>
                <w:rFonts w:hint="eastAsia"/>
                <w:highlight w:val="green"/>
              </w:rPr>
              <w:t>汽油</w:t>
            </w:r>
            <w:r w:rsidRPr="00CF4D02">
              <w:rPr>
                <w:highlight w:val="green"/>
              </w:rPr>
              <w:t>}}</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w:t>
      </w:r>
      <w:r w:rsidR="00B86807">
        <w:rPr>
          <w:rFonts w:hint="eastAsia"/>
          <w:highlight w:val="green"/>
        </w:rPr>
        <w:t>上网电量</w:t>
      </w:r>
      <w:r w:rsidR="00B86807">
        <w:rPr>
          <w:highlight w:val="green"/>
        </w:rPr>
        <w:t>}}</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w:t>
            </w:r>
            <w:r>
              <w:rPr>
                <w:rFonts w:hint="eastAsia"/>
                <w:highlight w:val="green"/>
              </w:rPr>
              <w:t>箱变</w:t>
            </w:r>
            <w:r>
              <w:rPr>
                <w:rFonts w:hint="eastAsia"/>
                <w:highlight w:val="green"/>
              </w:rPr>
              <w:t>_</w:t>
            </w:r>
            <w:r>
              <w:rPr>
                <w:rFonts w:hint="eastAsia"/>
                <w:highlight w:val="green"/>
              </w:rPr>
              <w:t>年耗</w:t>
            </w:r>
            <w:r>
              <w:rPr>
                <w:rFonts w:hint="eastAsia"/>
                <w:highlight w:val="green"/>
              </w:rPr>
              <w:t>_</w:t>
            </w:r>
            <w:r>
              <w:rPr>
                <w:rFonts w:hint="eastAsia"/>
                <w:highlight w:val="green"/>
              </w:rPr>
              <w:t>占比</w:t>
            </w:r>
            <w:r>
              <w:rPr>
                <w:highlight w:val="green"/>
              </w:rPr>
              <w:t>}}</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w:t>
            </w:r>
            <w:r w:rsidRPr="00B86807">
              <w:rPr>
                <w:rFonts w:hint="eastAsia"/>
                <w:highlight w:val="green"/>
              </w:rPr>
              <w:t>集电线路</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w:t>
            </w:r>
            <w:r w:rsidRPr="00B86807">
              <w:rPr>
                <w:rFonts w:hint="eastAsia"/>
                <w:highlight w:val="green"/>
              </w:rPr>
              <w:t>无功补偿</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w:t>
            </w:r>
            <w:r w:rsidRPr="00B86807">
              <w:rPr>
                <w:rFonts w:hint="eastAsia"/>
                <w:highlight w:val="green"/>
              </w:rPr>
              <w:t>主变</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w:t>
            </w:r>
            <w:r w:rsidRPr="00B86807">
              <w:rPr>
                <w:rFonts w:hint="eastAsia"/>
                <w:highlight w:val="green"/>
              </w:rPr>
              <w:t>站用电</w:t>
            </w:r>
            <w:r w:rsidRPr="000C67BC">
              <w:rPr>
                <w:rFonts w:hint="eastAsia"/>
                <w:highlight w:val="green"/>
              </w:rPr>
              <w:t>_</w:t>
            </w:r>
            <w:r w:rsidRPr="000C67BC">
              <w:rPr>
                <w:rFonts w:hint="eastAsia"/>
                <w:highlight w:val="green"/>
              </w:rPr>
              <w:t>年耗</w:t>
            </w:r>
            <w:r>
              <w:rPr>
                <w:rFonts w:hint="eastAsia"/>
                <w:highlight w:val="green"/>
              </w:rPr>
              <w:t>_</w:t>
            </w:r>
            <w:r>
              <w:rPr>
                <w:rFonts w:hint="eastAsia"/>
                <w:highlight w:val="green"/>
              </w:rPr>
              <w:t>占比</w:t>
            </w:r>
            <w:r w:rsidRPr="000C67BC">
              <w:rPr>
                <w:highlight w:val="green"/>
              </w:rPr>
              <w:t>}}</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w:t>
            </w:r>
            <w:r>
              <w:rPr>
                <w:rFonts w:hint="eastAsia"/>
                <w:highlight w:val="green"/>
              </w:rPr>
              <w:t>年总用电量</w:t>
            </w:r>
            <w:r w:rsidRPr="000C67BC">
              <w:rPr>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w:t>
      </w:r>
      <w:r w:rsidR="00B86807">
        <w:rPr>
          <w:rFonts w:hint="eastAsia"/>
          <w:highlight w:val="green"/>
        </w:rPr>
        <w:t>年总用电量</w:t>
      </w:r>
      <w:r w:rsidR="00B86807" w:rsidRPr="000C67BC">
        <w:rPr>
          <w:highlight w:val="green"/>
        </w:rPr>
        <w:t>}}</w:t>
      </w:r>
      <w:r w:rsidRPr="00D3669E">
        <w:rPr>
          <w:rFonts w:hint="eastAsia"/>
        </w:rPr>
        <w:t>万</w:t>
      </w:r>
      <w:r w:rsidRPr="00D3669E">
        <w:t>kWh</w:t>
      </w:r>
      <w:r w:rsidRPr="00D3669E">
        <w:rPr>
          <w:rFonts w:hint="eastAsia"/>
        </w:rPr>
        <w:t>，约折合</w:t>
      </w:r>
      <w:r w:rsidR="00B86807" w:rsidRPr="000C67BC">
        <w:rPr>
          <w:highlight w:val="green"/>
        </w:rPr>
        <w:t>{{</w:t>
      </w:r>
      <w:r w:rsidR="00B86807">
        <w:rPr>
          <w:rFonts w:hint="eastAsia"/>
          <w:highlight w:val="green"/>
        </w:rPr>
        <w:t>标准煤</w:t>
      </w:r>
      <w:r w:rsidR="00B86807" w:rsidRPr="000C67BC">
        <w:rPr>
          <w:highlight w:val="green"/>
        </w:rPr>
        <w:t>}}</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w:t>
      </w:r>
      <w:r w:rsidR="00B86807">
        <w:rPr>
          <w:rFonts w:hint="eastAsia"/>
          <w:highlight w:val="green"/>
        </w:rPr>
        <w:t>年综合能耗</w:t>
      </w:r>
      <w:r w:rsidR="00B86807" w:rsidRPr="000C67BC">
        <w:rPr>
          <w:highlight w:val="green"/>
        </w:rPr>
        <w:t>}}</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w:t>
      </w:r>
      <w:r w:rsidR="00B86807" w:rsidRPr="00B86807">
        <w:rPr>
          <w:rFonts w:hint="eastAsia"/>
          <w:highlight w:val="green"/>
        </w:rPr>
        <w:t>单位产品综合能耗</w:t>
      </w:r>
      <w:r w:rsidR="00B86807" w:rsidRPr="00B86807">
        <w:rPr>
          <w:highlight w:val="green"/>
        </w:rPr>
        <w:t>}}</w:t>
      </w:r>
      <w:r w:rsidRPr="00D3669E">
        <w:rPr>
          <w:rFonts w:hint="eastAsia"/>
        </w:rPr>
        <w:t>克标准煤</w:t>
      </w:r>
      <w:r w:rsidRPr="00D3669E">
        <w:t>/kWh</w:t>
      </w:r>
      <w:r w:rsidRPr="00D3669E">
        <w:rPr>
          <w:rFonts w:hint="eastAsia"/>
        </w:rPr>
        <w:t>（等价值），单位产值能耗为</w:t>
      </w:r>
      <w:r w:rsidR="00B86807" w:rsidRPr="00B86807">
        <w:rPr>
          <w:highlight w:val="green"/>
        </w:rPr>
        <w:t>{{</w:t>
      </w:r>
      <w:r w:rsidR="00B86807" w:rsidRPr="00B86807">
        <w:rPr>
          <w:rFonts w:hint="eastAsia"/>
          <w:highlight w:val="green"/>
        </w:rPr>
        <w:t>单位产值能耗</w:t>
      </w:r>
      <w:r w:rsidR="00B86807" w:rsidRPr="00B86807">
        <w:rPr>
          <w:highlight w:val="green"/>
        </w:rPr>
        <w:t>}}</w:t>
      </w:r>
      <w:r w:rsidRPr="00D3669E">
        <w:rPr>
          <w:rFonts w:hint="eastAsia"/>
        </w:rPr>
        <w:t>千克标准煤</w:t>
      </w:r>
      <w:r w:rsidRPr="00D3669E">
        <w:t>/</w:t>
      </w:r>
      <w:r w:rsidRPr="00D3669E">
        <w:rPr>
          <w:rFonts w:hint="eastAsia"/>
        </w:rPr>
        <w:t>万元（等价值），综合场用电率为</w:t>
      </w:r>
      <w:r w:rsidR="00B86807" w:rsidRPr="00B86807">
        <w:rPr>
          <w:highlight w:val="green"/>
        </w:rPr>
        <w:t>{{</w:t>
      </w:r>
      <w:r w:rsidR="00B86807" w:rsidRPr="00B86807">
        <w:rPr>
          <w:rFonts w:hint="eastAsia"/>
          <w:highlight w:val="green"/>
        </w:rPr>
        <w:t>综合场用电率</w:t>
      </w:r>
      <w:r w:rsidR="00B86807" w:rsidRPr="00B86807">
        <w:rPr>
          <w:highlight w:val="green"/>
        </w:rPr>
        <w:t>}}</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lastRenderedPageBreak/>
        <w:t xml:space="preserve">{{ </w:t>
      </w:r>
      <w:r w:rsidR="00587F51">
        <w:rPr>
          <w:highlight w:val="green"/>
        </w:rPr>
        <w:t>上网电量</w:t>
      </w:r>
      <w:r w:rsidR="00587F51">
        <w:rPr>
          <w:highlight w:val="green"/>
        </w:rPr>
        <w:t xml:space="preserve"> }}</w:t>
      </w:r>
      <w:r w:rsidR="00587F51" w:rsidRPr="00D3669E">
        <w:t>MWh/yr</w:t>
      </w:r>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 </w:t>
      </w:r>
      <w:r w:rsidR="00B86807">
        <w:rPr>
          <w:rFonts w:hint="eastAsia"/>
          <w:highlight w:val="green"/>
        </w:rPr>
        <w:t>合计</w:t>
      </w:r>
      <w:r w:rsidR="00B86807">
        <w:rPr>
          <w:rFonts w:hint="eastAsia"/>
          <w:highlight w:val="green"/>
        </w:rPr>
        <w:t>_</w:t>
      </w:r>
      <w:r w:rsidR="00B86807">
        <w:rPr>
          <w:rFonts w:hint="eastAsia"/>
          <w:highlight w:val="green"/>
        </w:rPr>
        <w:t>水</w:t>
      </w:r>
      <w:r w:rsidR="00B86807">
        <w:rPr>
          <w:highlight w:val="green"/>
        </w:rPr>
        <w:t xml:space="preserve"> }}</w:t>
      </w:r>
      <w:r w:rsidRPr="00D3669E">
        <w:t>t</w:t>
      </w:r>
      <w:r w:rsidRPr="00D3669E">
        <w:rPr>
          <w:rFonts w:hint="eastAsia"/>
        </w:rPr>
        <w:t>，总耗电约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电</w:t>
      </w:r>
      <w:r w:rsidR="00521A52">
        <w:rPr>
          <w:highlight w:val="green"/>
        </w:rPr>
        <w:t xml:space="preserve"> }}</w:t>
      </w:r>
      <w:r w:rsidRPr="00D3669E">
        <w:rPr>
          <w:rFonts w:hint="eastAsia"/>
        </w:rPr>
        <w:t>万</w:t>
      </w:r>
      <w:r w:rsidRPr="00D3669E">
        <w:t>kWh</w:t>
      </w:r>
      <w:r w:rsidRPr="00D3669E">
        <w:rPr>
          <w:rFonts w:hint="eastAsia"/>
        </w:rPr>
        <w:t>，柴油总消耗量约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柴油</w:t>
      </w:r>
      <w:r w:rsidR="00521A52">
        <w:rPr>
          <w:highlight w:val="green"/>
        </w:rPr>
        <w:t xml:space="preserve"> }}</w:t>
      </w:r>
      <w:r w:rsidRPr="00D3669E">
        <w:rPr>
          <w:rFonts w:hint="eastAsia"/>
        </w:rPr>
        <w:t>t</w:t>
      </w:r>
      <w:r w:rsidRPr="00D3669E">
        <w:rPr>
          <w:rFonts w:hint="eastAsia"/>
        </w:rPr>
        <w:t>，汽油总消耗量约</w:t>
      </w:r>
      <w:r w:rsidR="00521A52">
        <w:rPr>
          <w:highlight w:val="green"/>
        </w:rPr>
        <w:t xml:space="preserve">{{ </w:t>
      </w:r>
      <w:r w:rsidR="00521A52">
        <w:rPr>
          <w:rFonts w:hint="eastAsia"/>
          <w:highlight w:val="green"/>
        </w:rPr>
        <w:t>合计</w:t>
      </w:r>
      <w:r w:rsidR="00521A52">
        <w:rPr>
          <w:rFonts w:hint="eastAsia"/>
          <w:highlight w:val="green"/>
        </w:rPr>
        <w:t>_</w:t>
      </w:r>
      <w:r w:rsidR="00521A52">
        <w:rPr>
          <w:rFonts w:hint="eastAsia"/>
          <w:highlight w:val="green"/>
        </w:rPr>
        <w:t>汽油</w:t>
      </w:r>
      <w:r w:rsidR="00521A52">
        <w:rPr>
          <w:highlight w:val="green"/>
        </w:rPr>
        <w:t xml:space="preserve"> }}</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 </w:t>
      </w:r>
      <w:r w:rsidR="00521A52">
        <w:rPr>
          <w:rFonts w:hint="eastAsia"/>
          <w:highlight w:val="green"/>
        </w:rPr>
        <w:t>年总用电量</w:t>
      </w:r>
      <w:r w:rsidR="00521A52">
        <w:rPr>
          <w:highlight w:val="green"/>
        </w:rPr>
        <w:t xml:space="preserve"> }}</w:t>
      </w:r>
      <w:r w:rsidRPr="00D3669E">
        <w:rPr>
          <w:rFonts w:hint="eastAsia"/>
        </w:rPr>
        <w:t>万</w:t>
      </w:r>
      <w:r w:rsidRPr="00D3669E">
        <w:t>kWh</w:t>
      </w:r>
      <w:r w:rsidRPr="00D3669E">
        <w:rPr>
          <w:rFonts w:hint="eastAsia"/>
        </w:rPr>
        <w:t>，约折合</w:t>
      </w:r>
      <w:r w:rsidR="00521A52">
        <w:rPr>
          <w:highlight w:val="green"/>
        </w:rPr>
        <w:t xml:space="preserve">{{ </w:t>
      </w:r>
      <w:r w:rsidR="00521A52">
        <w:rPr>
          <w:rFonts w:hint="eastAsia"/>
          <w:highlight w:val="green"/>
        </w:rPr>
        <w:t>标准煤</w:t>
      </w:r>
      <w:r w:rsidR="00521A52">
        <w:rPr>
          <w:highlight w:val="green"/>
        </w:rPr>
        <w:t xml:space="preserve"> }}</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 </w:t>
      </w:r>
      <w:r w:rsidR="00CF7513">
        <w:rPr>
          <w:rFonts w:hint="eastAsia"/>
          <w:highlight w:val="green"/>
        </w:rPr>
        <w:t>年综合能耗</w:t>
      </w:r>
      <w:r w:rsidR="00CF7513">
        <w:rPr>
          <w:highlight w:val="green"/>
        </w:rPr>
        <w:t xml:space="preserve"> }}</w:t>
      </w:r>
      <w:r w:rsidRPr="00D3669E">
        <w:rPr>
          <w:rFonts w:hint="eastAsia"/>
        </w:rPr>
        <w:t>吨标准煤（等价值）。单位产品综合能耗为</w:t>
      </w:r>
      <w:r w:rsidR="00CF7513">
        <w:rPr>
          <w:highlight w:val="green"/>
        </w:rPr>
        <w:t xml:space="preserve">{{ </w:t>
      </w:r>
      <w:r w:rsidR="00CF7513">
        <w:rPr>
          <w:rFonts w:hint="eastAsia"/>
          <w:highlight w:val="green"/>
        </w:rPr>
        <w:t>单位产品综合能耗</w:t>
      </w:r>
      <w:r w:rsidR="00CF7513">
        <w:rPr>
          <w:highlight w:val="green"/>
        </w:rPr>
        <w:t xml:space="preserve"> }}</w:t>
      </w:r>
      <w:r w:rsidRPr="00D3669E">
        <w:rPr>
          <w:rFonts w:hint="eastAsia"/>
        </w:rPr>
        <w:t>克标准煤</w:t>
      </w:r>
      <w:r w:rsidRPr="00D3669E">
        <w:t>/kWh</w:t>
      </w:r>
      <w:r w:rsidRPr="00D3669E">
        <w:rPr>
          <w:rFonts w:hint="eastAsia"/>
        </w:rPr>
        <w:t>（等价值），单位产值能耗为</w:t>
      </w:r>
      <w:r w:rsidR="00CF7513">
        <w:rPr>
          <w:highlight w:val="green"/>
        </w:rPr>
        <w:t xml:space="preserve">{{ </w:t>
      </w:r>
      <w:r w:rsidR="00CF7513">
        <w:rPr>
          <w:rFonts w:hint="eastAsia"/>
          <w:highlight w:val="green"/>
        </w:rPr>
        <w:t>单位产值能耗</w:t>
      </w:r>
      <w:r w:rsidR="00CF7513">
        <w:rPr>
          <w:highlight w:val="green"/>
        </w:rPr>
        <w:t xml:space="preserve"> }}</w:t>
      </w:r>
      <w:r w:rsidRPr="00D3669E">
        <w:rPr>
          <w:rFonts w:hint="eastAsia"/>
        </w:rPr>
        <w:t>千克标准煤</w:t>
      </w:r>
      <w:r w:rsidRPr="00D3669E">
        <w:t>/</w:t>
      </w:r>
      <w:r w:rsidRPr="00D3669E">
        <w:rPr>
          <w:rFonts w:hint="eastAsia"/>
        </w:rPr>
        <w:t>万元（等价值），综合场用电率为</w:t>
      </w:r>
      <w:r w:rsidR="00CF7513">
        <w:rPr>
          <w:highlight w:val="green"/>
        </w:rPr>
        <w:t xml:space="preserve">{{ </w:t>
      </w:r>
      <w:r w:rsidR="00CF7513">
        <w:rPr>
          <w:rFonts w:hint="eastAsia"/>
          <w:highlight w:val="green"/>
        </w:rPr>
        <w:t>综合场用电率</w:t>
      </w:r>
      <w:r w:rsidR="00CF7513">
        <w:rPr>
          <w:highlight w:val="green"/>
        </w:rPr>
        <w:t xml:space="preserve"> }}</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60F48" w14:textId="77777777" w:rsidR="006E77AC" w:rsidRDefault="006E77AC">
      <w:pPr>
        <w:spacing w:line="240" w:lineRule="auto"/>
      </w:pPr>
      <w:r>
        <w:separator/>
      </w:r>
    </w:p>
  </w:endnote>
  <w:endnote w:type="continuationSeparator" w:id="0">
    <w:p w14:paraId="2B543C1D" w14:textId="77777777" w:rsidR="006E77AC" w:rsidRDefault="006E7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21A52" w:rsidRDefault="00521A5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00CB8833" w:rsidR="00521A52" w:rsidRDefault="00521A5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36376" w:rsidRPr="00936376">
              <w:rPr>
                <w:rFonts w:ascii="Times New Roman" w:hAnsi="Times New Roman"/>
                <w:noProof/>
                <w:lang w:val="zh-CN"/>
              </w:rPr>
              <w:t>73</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21A52" w:rsidRDefault="006E77AC" w:rsidP="0075614A">
        <w:pPr>
          <w:pStyle w:val="ab"/>
          <w:pBdr>
            <w:top w:val="single" w:sz="4" w:space="1" w:color="auto"/>
          </w:pBdr>
        </w:pPr>
        <w:sdt>
          <w:sdtPr>
            <w:id w:val="2081172199"/>
            <w:docPartObj>
              <w:docPartGallery w:val="Page Numbers (Bottom of Page)"/>
              <w:docPartUnique/>
            </w:docPartObj>
          </w:sdtPr>
          <w:sdtEndPr/>
          <w:sdtContent>
            <w:r w:rsidR="00521A52">
              <w:fldChar w:fldCharType="begin"/>
            </w:r>
            <w:r w:rsidR="00521A52">
              <w:instrText>PAGE   \* MERGEFORMAT</w:instrText>
            </w:r>
            <w:r w:rsidR="00521A52">
              <w:fldChar w:fldCharType="separate"/>
            </w:r>
            <w:r w:rsidR="00521A52" w:rsidRPr="002B3864">
              <w:rPr>
                <w:noProof/>
                <w:lang w:val="zh-CN"/>
              </w:rPr>
              <w:t>224</w:t>
            </w:r>
            <w:r w:rsidR="00521A52">
              <w:fldChar w:fldCharType="end"/>
            </w:r>
            <w:r w:rsidR="00521A52">
              <w:t xml:space="preserve">                                                     </w:t>
            </w:r>
            <w:r w:rsidR="00521A52">
              <w:rPr>
                <w:rFonts w:ascii="楷体" w:eastAsia="楷体" w:hAnsi="楷体" w:hint="eastAsia"/>
              </w:rPr>
              <w:t>深圳智润新能源电力勘测设计院有限公司</w:t>
            </w:r>
          </w:sdtContent>
        </w:sdt>
      </w:p>
      <w:p w14:paraId="00D754CC" w14:textId="77777777" w:rsidR="00521A52" w:rsidRDefault="006E77AC"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62BBA5C8" w:rsidR="00521A52" w:rsidRPr="00664E6B" w:rsidRDefault="006E77AC"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21A52">
              <w:rPr>
                <w:rFonts w:ascii="楷体" w:eastAsia="楷体" w:hAnsi="楷体" w:hint="eastAsia"/>
              </w:rPr>
              <w:t xml:space="preserve">深圳智润新能源电力勘测设计院有限公司  </w:t>
            </w:r>
            <w:r w:rsidR="00521A52">
              <w:rPr>
                <w:rFonts w:ascii="楷体" w:eastAsia="楷体" w:hAnsi="楷体"/>
              </w:rPr>
              <w:t xml:space="preserve">                                                   </w:t>
            </w:r>
            <w:r w:rsidR="00521A52">
              <w:fldChar w:fldCharType="begin"/>
            </w:r>
            <w:r w:rsidR="00521A52">
              <w:instrText>PAGE   \* MERGEFORMAT</w:instrText>
            </w:r>
            <w:r w:rsidR="00521A52">
              <w:fldChar w:fldCharType="separate"/>
            </w:r>
            <w:r w:rsidR="00936376" w:rsidRPr="00936376">
              <w:rPr>
                <w:noProof/>
                <w:lang w:val="zh-CN"/>
              </w:rPr>
              <w:t>101</w:t>
            </w:r>
            <w:r w:rsidR="00521A52">
              <w:fldChar w:fldCharType="end"/>
            </w:r>
          </w:sdtContent>
        </w:sdt>
      </w:p>
    </w:sdtContent>
  </w:sdt>
  <w:p w14:paraId="4A54529D" w14:textId="77777777" w:rsidR="00521A52" w:rsidRDefault="00521A52"/>
  <w:p w14:paraId="1FF23B36" w14:textId="77777777" w:rsidR="00521A52" w:rsidRDefault="00521A5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7FD5336" w:rsidR="00521A52" w:rsidRPr="003225B6" w:rsidRDefault="00521A5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36376" w:rsidRPr="00936376">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21A52" w:rsidRDefault="00521A5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21A52" w:rsidRDefault="00521A5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21A52" w:rsidRDefault="00521A5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21A52" w:rsidRPr="00466E8F" w:rsidRDefault="00521A5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21A52" w:rsidRPr="004A5884" w:rsidRDefault="006E77AC" w:rsidP="00E54360">
    <w:pPr>
      <w:pStyle w:val="ab"/>
      <w:pBdr>
        <w:top w:val="single" w:sz="4" w:space="1" w:color="auto"/>
      </w:pBdr>
    </w:pPr>
    <w:sdt>
      <w:sdtPr>
        <w:id w:val="208696642"/>
        <w:docPartObj>
          <w:docPartGallery w:val="Page Numbers (Bottom of Page)"/>
          <w:docPartUnique/>
        </w:docPartObj>
      </w:sdtPr>
      <w:sdtEndPr/>
      <w:sdtContent>
        <w:r w:rsidR="00521A52">
          <w:rPr>
            <w:rFonts w:ascii="楷体" w:eastAsia="楷体" w:hAnsi="楷体" w:hint="eastAsia"/>
          </w:rPr>
          <w:t xml:space="preserve">深圳智润新能源电力勘测设计院有限公司 </w:t>
        </w:r>
        <w:r w:rsidR="00521A52">
          <w:rPr>
            <w:rFonts w:ascii="楷体" w:eastAsia="楷体" w:hAnsi="楷体"/>
          </w:rPr>
          <w:t xml:space="preserve">                                                  </w:t>
        </w:r>
        <w:r w:rsidR="00521A52">
          <w:rPr>
            <w:rFonts w:ascii="楷体" w:eastAsia="楷体" w:hAnsi="楷体" w:hint="eastAsia"/>
          </w:rPr>
          <w:t xml:space="preserve"> </w:t>
        </w:r>
        <w:r w:rsidR="00521A52">
          <w:t>75</w:t>
        </w:r>
      </w:sdtContent>
    </w:sdt>
    <w:r w:rsidR="00521A5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0DDE86B6" w:rsidR="00521A52" w:rsidRDefault="00521A5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36376" w:rsidRPr="00936376">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0CE7119" w:rsidR="00521A52" w:rsidRDefault="00521A5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36376" w:rsidRPr="00936376">
              <w:rPr>
                <w:rFonts w:ascii="Times New Roman" w:hAnsi="Times New Roman"/>
                <w:noProof/>
                <w:lang w:val="zh-CN"/>
              </w:rPr>
              <w:t>27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21A52" w:rsidRPr="004A5884" w:rsidRDefault="00521A5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DFF12" w14:textId="77777777" w:rsidR="006E77AC" w:rsidRDefault="006E77AC">
      <w:pPr>
        <w:spacing w:line="240" w:lineRule="auto"/>
      </w:pPr>
      <w:r>
        <w:separator/>
      </w:r>
    </w:p>
  </w:footnote>
  <w:footnote w:type="continuationSeparator" w:id="0">
    <w:p w14:paraId="23182EB0" w14:textId="77777777" w:rsidR="006E77AC" w:rsidRDefault="006E7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21A52" w:rsidRPr="00A51778" w:rsidRDefault="00521A5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521A52" w:rsidRDefault="00521A5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风电项目可行性研究报告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521A52" w:rsidRDefault="00521A52" w:rsidP="000F7FFB">
    <w:pPr>
      <w:pStyle w:val="ad"/>
      <w:jc w:val="left"/>
    </w:pPr>
    <w:r>
      <w:rPr>
        <w:rFonts w:hint="eastAsia"/>
      </w:rPr>
      <w:t>山西晋中榆社风</w:t>
    </w:r>
    <w:r>
      <w:rPr>
        <w:rFonts w:hint="eastAsia"/>
      </w:rPr>
      <w:t>99MW</w:t>
    </w:r>
    <w:r>
      <w:rPr>
        <w:rFonts w:hint="eastAsia"/>
      </w:rPr>
      <w:t>电项目可行性研究报告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521A52" w:rsidRDefault="00521A5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风电项目可行性研究报告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521A52" w:rsidRDefault="00521A52" w:rsidP="000F7FFB">
    <w:pPr>
      <w:pStyle w:val="ad"/>
      <w:jc w:val="left"/>
    </w:pPr>
    <w:r>
      <w:rPr>
        <w:rFonts w:hint="eastAsia"/>
      </w:rPr>
      <w:t>华润海原北山梁</w:t>
    </w:r>
    <w:r>
      <w:rPr>
        <w:rFonts w:hint="eastAsia"/>
      </w:rPr>
      <w:t>80MW</w:t>
    </w:r>
    <w:r>
      <w:rPr>
        <w:rFonts w:hint="eastAsia"/>
      </w:rPr>
      <w:t>风电项目可行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21A52" w:rsidRPr="00766C81" w:rsidRDefault="00521A5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21A52" w:rsidRDefault="00521A5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华润电力武隆杨柳坪风电项目</w:t>
    </w:r>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521A52" w:rsidRDefault="00521A5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521A52" w:rsidRPr="00DD14AF" w:rsidRDefault="00521A5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华润郁南</w:t>
    </w:r>
    <w:r>
      <w:rPr>
        <w:rFonts w:hint="eastAsia"/>
      </w:rPr>
      <w:t>欣茂</w:t>
    </w:r>
    <w:r w:rsidRPr="00DD14AF">
      <w:rPr>
        <w:rFonts w:hint="eastAsia"/>
      </w:rPr>
      <w:t>100MW</w:t>
    </w:r>
    <w:r w:rsidRPr="00DD14AF">
      <w:rPr>
        <w:rFonts w:hint="eastAsia"/>
      </w:rPr>
      <w:t>风电项目</w:t>
    </w:r>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521A52" w:rsidRPr="00DD14AF" w:rsidRDefault="00521A52"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21A52" w:rsidRDefault="00521A5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电力武隆杨柳坪</w:t>
    </w:r>
    <w:r w:rsidRPr="002A6C9B">
      <w:rPr>
        <w:rFonts w:hint="eastAsia"/>
      </w:rPr>
      <w:t>风电项目</w:t>
    </w:r>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21A52" w:rsidRPr="000020D8" w:rsidRDefault="00521A5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21A52" w:rsidRDefault="00521A5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21A52" w:rsidRDefault="00521A5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分散式风电</w:t>
    </w:r>
    <w:r>
      <w:t>项目</w:t>
    </w:r>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21A52" w:rsidRPr="00466E8F" w:rsidRDefault="00521A5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21A52" w:rsidRDefault="00521A5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电力武隆杨柳坪</w:t>
    </w:r>
    <w:r w:rsidRPr="00AA1CC5">
      <w:rPr>
        <w:rFonts w:hint="eastAsia"/>
      </w:rPr>
      <w:t>风电项目</w:t>
    </w:r>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521A52" w:rsidRPr="00F81F79" w:rsidRDefault="00521A5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风电场名称</w:t>
    </w:r>
    <w:r w:rsidRPr="00F81F79">
      <w:rPr>
        <w:rFonts w:ascii="Calibri" w:eastAsia="宋体" w:hAnsi="Calibri" w:cs="Times New Roman" w:hint="eastAsia"/>
        <w:sz w:val="18"/>
        <w:szCs w:val="18"/>
      </w:rPr>
      <w:t xml:space="preserve"> }}</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521A52" w:rsidRDefault="00521A5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风电项目可行性研究报告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521A52" w:rsidRDefault="00521A52" w:rsidP="000F7FFB">
    <w:pPr>
      <w:pStyle w:val="ad"/>
      <w:jc w:val="left"/>
    </w:pPr>
    <w:r>
      <w:rPr>
        <w:rFonts w:hint="eastAsia"/>
      </w:rPr>
      <w:t>山西晋中榆社</w:t>
    </w:r>
    <w:r>
      <w:rPr>
        <w:rFonts w:hint="eastAsia"/>
      </w:rPr>
      <w:t>99MW</w:t>
    </w:r>
    <w:r>
      <w:rPr>
        <w:rFonts w:hint="eastAsia"/>
      </w:rPr>
      <w:t>风电项目可行性研究报告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7.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image" Target="media/image6.png"/><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hyperlink" Target="file:///E:\1&#27861;&#35268;&#27861;&#35268;\GB%2012523-2011&#24314;&#31569;&#26045;&#24037;&#22330;&#30028;&#29615;&#22659;&#22122;&#22768;&#25490;&#25918;&#26631;&#20934;.pdf" TargetMode="External"/><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footer" Target="footer12.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1391-8F8C-4535-9D8A-30E74FE6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142</Pages>
  <Words>14389</Words>
  <Characters>82023</Characters>
  <Application>Microsoft Office Word</Application>
  <DocSecurity>0</DocSecurity>
  <Lines>683</Lines>
  <Paragraphs>192</Paragraphs>
  <ScaleCrop>false</ScaleCrop>
  <Company>Microsoft</Company>
  <LinksUpToDate>false</LinksUpToDate>
  <CharactersWithSpaces>96220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210</cp:revision>
  <cp:lastPrinted>2019-10-29T06:20:00Z</cp:lastPrinted>
  <dcterms:created xsi:type="dcterms:W3CDTF">2019-10-16T07:33:00Z</dcterms:created>
  <dcterms:modified xsi:type="dcterms:W3CDTF">2019-12-03T10:13:00Z</dcterms:modified>
</cp:coreProperties>
</file>