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D375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25</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62.5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25</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0.125</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62.5</w:t>
      </w:r>
      <w:r w:rsidR="00647F7D" w:rsidRPr="00D3669E">
        <w:t>MW</w:t>
      </w:r>
      <w:r w:rsidR="00647F7D" w:rsidRPr="00D3669E">
        <w:t>，拟设计安装</w:t>
      </w:r>
      <w:r w:rsidR="00492394">
        <w:rPr>
          <w:highlight w:val="green"/>
        </w:rPr>
        <w:t xml:space="preserve">25</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140.0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62.5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25</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62.5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62.5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10.0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27.95</w:t>
      </w:r>
      <w:r w:rsidRPr="00D3669E">
        <w:rPr>
          <w:rFonts w:hint="eastAsia"/>
        </w:rPr>
        <w:t>亩，临时用地</w:t>
      </w:r>
      <w:r w:rsidR="00BC2207">
        <w:rPr>
          <w:kern w:val="0"/>
          <w:highlight w:val="green"/>
        </w:rPr>
        <w:t xml:space="preserve">1472.28</w:t>
      </w:r>
      <w:r w:rsidRPr="00D3669E">
        <w:rPr>
          <w:rFonts w:hint="eastAsia"/>
        </w:rPr>
        <w:t>亩，总用地</w:t>
      </w:r>
      <w:r w:rsidR="005262F5">
        <w:rPr>
          <w:highlight w:val="green"/>
        </w:rPr>
        <w:t xml:space="preserve">1500.23</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62.5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8037.58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62.5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25</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8037.58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25</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140.0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25</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25</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8037.58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62.5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71.0</w:t>
      </w:r>
      <w:r w:rsidRPr="00D3669E">
        <w:t>km</w:t>
      </w:r>
      <w:r w:rsidRPr="00D3669E">
        <w:rPr>
          <w:rFonts w:hint="eastAsia"/>
        </w:rPr>
        <w:t>，</w:t>
      </w:r>
      <w:r w:rsidRPr="00D3669E">
        <w:t>其中</w:t>
      </w:r>
      <w:r w:rsidR="00B9160B">
        <w:t>新建施工检修道路</w:t>
      </w:r>
      <w:r w:rsidR="00B9160B">
        <w:t xml:space="preserve">60.0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1.0</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25</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55231.98</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8037.58</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1031.05</w:t>
      </w:r>
      <w:r w:rsidRPr="00D3669E">
        <w:t>元，工程动态总投资</w:t>
      </w:r>
      <w:r w:rsidR="002E66EA">
        <w:t xml:space="preserve">56263.03</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55231.98</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56263.03</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27.95</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8037.58</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1472.28</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1031.05</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55231.98</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1031.05</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56263.03</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8037.58</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27.95</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27.95</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55231.98</w:t>
      </w:r>
      <w:r w:rsidRPr="00D3669E">
        <w:t>万元，其中可抵扣增值税额为</w:t>
      </w:r>
      <w:r w:rsidRPr="00D3669E">
        <w:t>5084.85</w:t>
      </w:r>
      <w:r w:rsidRPr="00D3669E">
        <w:t>万元，计入建设期利息</w:t>
      </w:r>
      <w:r w:rsidR="002E66EA">
        <w:t>1031.05</w:t>
      </w:r>
      <w:r w:rsidRPr="00D3669E">
        <w:t>万元，项目动态投资为</w:t>
      </w:r>
      <w:r w:rsidR="002E66EA">
        <w:t xml:space="preserve">56263.03</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55231.98</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1031.05</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55231.98</w:t>
      </w:r>
      <w:r w:rsidRPr="00D3669E">
        <w:t>万元，计入建设期利息</w:t>
      </w:r>
      <w:r w:rsidR="002E66EA">
        <w:t>1031.05</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55231.98</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55231.98</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62.5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1031.05</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62.5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55231.98</w:t>
      </w:r>
      <w:r w:rsidR="0028041F" w:rsidRPr="00D3669E">
        <w:t>万元，单位千瓦静态投资</w:t>
      </w:r>
      <w:r w:rsidR="002E66EA">
        <w:t xml:space="preserve">8037.58</w:t>
      </w:r>
      <w:r w:rsidR="0028041F" w:rsidRPr="00D3669E">
        <w:t>元</w:t>
      </w:r>
      <w:r w:rsidR="0028041F" w:rsidRPr="00D3669E">
        <w:t>/kW</w:t>
      </w:r>
      <w:r w:rsidR="0028041F" w:rsidRPr="00D3669E">
        <w:t>，工程动态总投资</w:t>
      </w:r>
      <w:r w:rsidR="002E66EA">
        <w:t xml:space="preserve">56263.03</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25</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62.5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25</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25</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62.5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6A8C2" w14:textId="77777777" w:rsidR="00CD3757" w:rsidRDefault="00CD3757">
      <w:pPr>
        <w:spacing w:line="240" w:lineRule="auto"/>
      </w:pPr>
      <w:r>
        <w:separator/>
      </w:r>
    </w:p>
  </w:endnote>
  <w:endnote w:type="continuationSeparator" w:id="0">
    <w:p w14:paraId="37969E62" w14:textId="77777777" w:rsidR="00CD3757" w:rsidRDefault="00CD3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DE44BD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22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CD3757"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CD375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589CFDE" w:rsidR="00535549" w:rsidRPr="00664E6B" w:rsidRDefault="00CD375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7925F1" w:rsidRPr="007925F1">
              <w:rPr>
                <w:noProof/>
                <w:lang w:val="zh-CN"/>
              </w:rPr>
              <w:t>80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5767174"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CD3757"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94F38"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2B3C4A0"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3032" w14:textId="77777777" w:rsidR="00CD3757" w:rsidRDefault="00CD3757">
      <w:pPr>
        <w:spacing w:line="240" w:lineRule="auto"/>
      </w:pPr>
      <w:r>
        <w:separator/>
      </w:r>
    </w:p>
  </w:footnote>
  <w:footnote w:type="continuationSeparator" w:id="0">
    <w:p w14:paraId="42BF1D81" w14:textId="77777777" w:rsidR="00CD3757" w:rsidRDefault="00CD3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23" Type="http://schemas.openxmlformats.org/officeDocument/2006/relationships/footer" Target="footer6.xml"/><Relationship Id="rId27" Type="http://schemas.openxmlformats.org/officeDocument/2006/relationships/header" Target="header8.xml"/><Relationship Id="rId18" Type="http://schemas.openxmlformats.org/officeDocument/2006/relationships/header" Target="header5.xml"/><Relationship Id="rId35" Type="http://schemas.openxmlformats.org/officeDocument/2006/relationships/footer" Target="footer13.xml"/><Relationship Id="rId6" Type="http://schemas.openxmlformats.org/officeDocument/2006/relationships/footnotes" Target="footnotes.xml"/><Relationship Id="rId8" Type="http://schemas.openxmlformats.org/officeDocument/2006/relationships/image" Target="media/image1.jpeg"/><Relationship Id="rId33" Type="http://schemas.openxmlformats.org/officeDocument/2006/relationships/footer" Target="footer12.xml"/><Relationship Id="rId3" Type="http://schemas.openxmlformats.org/officeDocument/2006/relationships/styles" Target="styles.xml"/><Relationship Id="rId13" Type="http://schemas.openxmlformats.org/officeDocument/2006/relationships/footer" Target="footer1.xml"/><Relationship Id="rId24" Type="http://schemas.openxmlformats.org/officeDocument/2006/relationships/footer" Target="footer7.xml"/><Relationship Id="rId36" Type="http://schemas.openxmlformats.org/officeDocument/2006/relationships/fontTable" Target="fontTable.xml"/><Relationship Id="rId9" Type="http://schemas.openxmlformats.org/officeDocument/2006/relationships/image" Target="media/image2.png"/><Relationship Id="rId3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footer" Target="footer9.xml"/><Relationship Id="rId22" Type="http://schemas.openxmlformats.org/officeDocument/2006/relationships/header" Target="header7.xml"/><Relationship Id="rId15" Type="http://schemas.openxmlformats.org/officeDocument/2006/relationships/header" Target="header3.xml"/><Relationship Id="rId14" Type="http://schemas.openxmlformats.org/officeDocument/2006/relationships/footer" Target="footer2.xml"/><Relationship Id="rId20" Type="http://schemas.openxmlformats.org/officeDocument/2006/relationships/footer" Target="footer5.xml"/><Relationship Id="rId26" Type="http://schemas.openxmlformats.org/officeDocument/2006/relationships/image" Target="media/image5.png"/><Relationship Id="rId2" Type="http://schemas.openxmlformats.org/officeDocument/2006/relationships/numbering" Target="numbering.xml"/><Relationship Id="rId17" Type="http://schemas.openxmlformats.org/officeDocument/2006/relationships/header" Target="header4.xml"/><Relationship Id="rId19" Type="http://schemas.openxmlformats.org/officeDocument/2006/relationships/footer" Target="footer4.xml"/><Relationship Id="rId21" Type="http://schemas.openxmlformats.org/officeDocument/2006/relationships/header" Target="header6.xml"/><Relationship Id="rId7" Type="http://schemas.openxmlformats.org/officeDocument/2006/relationships/endnotes" Target="endnotes.xml"/><Relationship Id="rId16" Type="http://schemas.openxmlformats.org/officeDocument/2006/relationships/footer" Target="footer3.xml"/><Relationship Id="rId10" Type="http://schemas.openxmlformats.org/officeDocument/2006/relationships/image" Target="cid:image001.png@01D31FA3.02F7A230" TargetMode="External"/><Relationship Id="rId4" Type="http://schemas.openxmlformats.org/officeDocument/2006/relationships/settings" Target="settings.xml"/><Relationship Id="rId31" Type="http://schemas.openxmlformats.org/officeDocument/2006/relationships/header" Target="header10.xml"/><Relationship Id="rId32" Type="http://schemas.openxmlformats.org/officeDocument/2006/relationships/footer" Target="footer11.xml"/><Relationship Id="rId25" Type="http://schemas.openxmlformats.org/officeDocument/2006/relationships/footer" Target="footer8.xml"/><Relationship Id="rId30" Type="http://schemas.openxmlformats.org/officeDocument/2006/relationships/header" Target="header9.xml"/><Relationship Id="rId29" Type="http://schemas.openxmlformats.org/officeDocument/2006/relationships/footer" Target="footer10.xml"/><Relationship Id="rId5" Type="http://schemas.openxmlformats.org/officeDocument/2006/relationships/webSettings" Target="webSettings.xml"/><Relationship Id="rId12" Type="http://schemas.openxmlformats.org/officeDocument/2006/relationships/header" Target="header2.xml"/><Relationship Id="rId34"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23FB-6119-4D7E-9FE5-93E34CEA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108</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175</cp:revision>
  <cp:lastPrinted>2019-10-29T06:20:00Z</cp:lastPrinted>
  <dcterms:created xsi:type="dcterms:W3CDTF">2019-10-16T07:33:00Z</dcterms:created>
  <dcterms:modified xsi:type="dcterms:W3CDTF">2019-11-28T14:18:00Z</dcterms:modified>
</cp:coreProperties>
</file>