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52460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52460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52460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52460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6BCC53F9"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588m～852m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之间，总区域共</w:t>
      </w:r>
      <w:r w:rsidR="00492394">
        <w:rPr>
          <w:rFonts w:hint="eastAsia"/>
          <w:highlight w:val="green"/>
        </w:rPr>
        <w:t xml:space="preserve">50.02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40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100.0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40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2</w:t>
      </w:r>
      <w:r w:rsidRPr="00D3669E">
        <w:rPr>
          <w:rFonts w:hint="eastAsia"/>
        </w:rPr>
        <w:t>座测风塔</w:t>
      </w:r>
      <w:r w:rsidR="000B0766">
        <w:rPr>
          <w:rFonts w:hint="eastAsia"/>
          <w:highlight w:val="green"/>
        </w:rPr>
        <w:t xml:space="preserve">0064#/1623#</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1623#测风塔90选取2016.1.1~2016.12.31。0064#测风塔90选取2017.1.1~2017.12.31。</w:t>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1623#测风塔90m高度年平均风速为5.9m/s,风功率密度为196W/m²。0064#测风塔90m高度年平均风速为6.14m/s,风功率密度为205W/m²。</w:t>
      </w:r>
      <w:r w:rsidR="00C75E58">
        <w:rPr>
          <w:rFonts w:hint="eastAsia"/>
          <w:highlight w:val="green"/>
        </w:rPr>
        <w:t xml:space="preserve">1623#测风塔90m测层风向S；主风能风向S。0064#测风塔90m测层风向S,EEN；主风能风向S,EEN。</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1623#测风塔90m测层代表湍流强度0.18。0064#测风塔90m测层代表湍流强度0.178。</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1) 根据现阶段所收集到的资料综合判定，工程区附近断裂无明显活动迹象，地震活动不强烈，场址区域构造稳定性相对较好，适宜进行风电场建设。 2）根据《中国地震动参数区划图》（GB18306-2015）及《建筑抗震设计规范》（GB50011-2010）（2016年版），场区抗震设防烈度为VI度，基本地震动峰值加速度为0.05g，特征周期值为0.40s。 3）根据目前资料，场区内风机大部分布置在地势较高处，风机基础持力层为基岩地层，可满足设计要求承载力，建议采用天然地基基础。 4）根据搜集资料地下水对混凝土及钢筋混凝土结构中的钢筋的腐蚀性按微腐蚀性考虑。建议下阶段取水和土进行腐蚀性实验。 5）野外地质调查表明工程区整体稳定性良好，局部存在危岩体与不稳定边坡。建议下一阶段对场址区进行详细勘察，查明不良地质体分布、分析对工程区的危害。 6）总体来看，拟建场区位于地质构造相对稳定地段。场地岩土层情况相对简单，满足地基设计要求，适宜建场。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100.0</w:t>
      </w:r>
      <w:r w:rsidR="00647F7D" w:rsidRPr="00D3669E">
        <w:t>MW</w:t>
      </w:r>
      <w:r w:rsidR="00647F7D" w:rsidRPr="00D3669E">
        <w:t>，拟设计安装</w:t>
      </w:r>
      <w:r w:rsidR="00492394">
        <w:rPr>
          <w:highlight w:val="green"/>
        </w:rPr>
        <w:t xml:space="preserve">40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在风电项目场址中心附近新建1座110kV升压变电站，设置1台100MVA主变，电压等级110/35kV，110kV侧的接线形式为线变组接线，35kV侧采用单母线接线，配置4面进线开关柜，1面PT柜，1面SVG无功补偿装置开关柜， 1面站用变开关柜，1面接地变开关柜，1面出线柜。风力发电机组发出的电力经箱变升压至35kV后汇集进入变电站35kV侧，经主变压器升压至110kV后，以一回110kV接入220kV刘屯变电站110kV侧，导线截面300mm2。</w:t>
      </w:r>
    </w:p>
    <w:p w14:paraId="4A84E67B" w14:textId="500F2527"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C1636F">
        <w:rPr>
          <w:rFonts w:hint="eastAsia"/>
        </w:rPr>
        <w:t xml:space="preserve">False</w:t>
      </w:r>
      <w:r w:rsidRPr="00D3669E">
        <w:rPr>
          <w:rFonts w:hint="eastAsia"/>
        </w:rPr>
        <w:t>。</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lastRenderedPageBreak/>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8E87343"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100.0</w:t>
      </w:r>
      <w:r w:rsidRPr="00D3669E">
        <w:t>MW</w:t>
      </w:r>
      <w:r w:rsidRPr="00D3669E">
        <w:t>。考虑了尾流影响折减、空气密度折减后，再综合考虑其它发电量的折减因素如可利用率折减等（综合折减系数为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226B2416" w:rsidR="004A28A5"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341EF28A" w14:textId="77777777" w:rsidR="00B77D81" w:rsidRPr="00D3669E" w:rsidRDefault="00B77D81" w:rsidP="00B77D81">
      <w:pPr>
        <w:pStyle w:val="01maintext"/>
      </w:pPr>
      <w:r w:rsidRPr="00A36276">
        <w:rPr>
          <w:rFonts w:hint="eastAsia"/>
          <w:highlight w:val="green"/>
        </w:rPr>
        <w:t xml:space="preserve">在风电项目场址中心附近新建1座110kV升压变电站，设置1台100MVA主变，电压等级110/35kV，110kV侧的接线形式为线变组接线，35kV侧采用单母线接线，配置4面进线开关柜，1面PT柜，1面SVG无功补偿装置开关柜， 1面站用变开关柜，1面接地变开关柜，1面出线柜。风力发电机组发出的电力经箱变升压至35kV后汇集进入变电站35kV侧，经主变压器升压至110kV后，以一回110kV接入220kV刘屯变电站110kV侧，导线截面300mm2。</w:t>
      </w:r>
    </w:p>
    <w:p w14:paraId="539A063C" w14:textId="1C600288" w:rsidR="00CE10A3" w:rsidRPr="00D3669E" w:rsidRDefault="00D76C4B" w:rsidP="00C129B3">
      <w:pPr>
        <w:pStyle w:val="01maintext"/>
      </w:pPr>
      <w:bookmarkStart w:id="45" w:name="_GoBack"/>
      <w:bookmarkEnd w:id="45"/>
      <w:r w:rsidRPr="0027290B">
        <w:rPr>
          <w:rFonts w:hint="eastAsia"/>
          <w:highlight w:val="green"/>
        </w:rPr>
        <w:t xml:space="preserve">华润电力武隆杨柳坪风电项目</w:t>
      </w:r>
      <w:r w:rsidR="00CE10A3" w:rsidRPr="00D3669E">
        <w:t>共安装</w:t>
      </w:r>
      <w:r w:rsidR="00492394" w:rsidRPr="0027290B">
        <w:rPr>
          <w:highlight w:val="green"/>
        </w:rPr>
        <w:t xml:space="preserve">40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100.0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100.0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lastRenderedPageBreak/>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lastRenderedPageBreak/>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lastRenderedPageBreak/>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39.7</w:t>
      </w:r>
      <w:r w:rsidRPr="00D3669E">
        <w:rPr>
          <w:rFonts w:hint="eastAsia"/>
        </w:rPr>
        <w:t>亩，临时用地</w:t>
      </w:r>
      <w:r w:rsidR="00BC2207">
        <w:rPr>
          <w:kern w:val="0"/>
          <w:highlight w:val="green"/>
        </w:rPr>
        <w:t xml:space="preserve">370.41</w:t>
      </w:r>
      <w:r w:rsidRPr="00D3669E">
        <w:rPr>
          <w:rFonts w:hint="eastAsia"/>
        </w:rPr>
        <w:t>亩，总用地</w:t>
      </w:r>
      <w:r w:rsidR="005262F5">
        <w:rPr>
          <w:highlight w:val="green"/>
        </w:rPr>
        <w:t xml:space="preserve">410.11</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100.0</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w:t>
      </w:r>
      <w:r w:rsidR="00BC232B" w:rsidRPr="00D3669E">
        <w:lastRenderedPageBreak/>
        <w:t>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lastRenderedPageBreak/>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7890.28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8037.58</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w:t>
      </w:r>
      <w:r w:rsidR="004409F8" w:rsidRPr="00D3669E">
        <w:lastRenderedPageBreak/>
        <w:t>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100.0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lastRenderedPageBreak/>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缓坡中山</w:t>
      </w:r>
      <w:r w:rsidRPr="00D3669E">
        <w:rPr>
          <w:rFonts w:eastAsiaTheme="minorEastAsia" w:hint="eastAsia"/>
        </w:rPr>
        <w:t>风电场，场址内海拔高程在</w:t>
      </w:r>
      <w:r w:rsidR="00492394">
        <w:rPr>
          <w:rFonts w:eastAsiaTheme="minorEastAsia" w:hint="eastAsia"/>
          <w:highlight w:val="green"/>
        </w:rPr>
        <w:t xml:space="preserve">588m～852m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lastRenderedPageBreak/>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I</w:t>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40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MWh/yr</w:t>
      </w:r>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7890.28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8037.58</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588m～852m</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111.334294</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23.132694</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100</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40</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2.5</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3</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144.73</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16505.0</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3.0</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8.2</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20.0</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52.5</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100</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2650.0</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690.0</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40</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40</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440270.99</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196913.05</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26058.0</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2404.0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10.0</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5.0</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5.0</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7890.28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8037.58</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37891.35</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9682.76</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6298.64</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100.0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100</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5</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062"/>
        <w:gridCol w:w="522"/>
        <w:gridCol w:w="2550"/>
        <w:gridCol w:w="817"/>
        <w:gridCol w:w="1414"/>
        <w:gridCol w:w="1208"/>
        <w:gridCol w:w="1208"/>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5"/>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WT2.5-130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GW2.5-140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En2.5-141</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MY2.5-145</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GW3.3-155</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3300</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141.0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155.0</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13273.0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15394.0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15615.0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16505.0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18772.0</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90/100/120/140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90/100/125/140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9.3</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9.5</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半直驱</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2631.0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2600.0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碟式</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叶轮刹车（维护型）</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液压刹车</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机械制动</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液压机械制动</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缓坡中山</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588m～852m</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50.02</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本项目区域内存在部分限制性因素，需重点对生态红线等限制性因素进行排查。</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100m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5.2~6.4m/s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144.73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1</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40</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方案1</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5"/>
        <w:gridCol w:w="5804"/>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1"/>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方案1</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WTG1</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100.0</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220648.4</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2206.5</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252.125</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11765.83</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35000.0</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3253.32076</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2310.0</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1720.0</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1120.0</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3128.0</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58297.15</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2.642</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方案1</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2.5kW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WTG1</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1.096kg/m3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-3.8%</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-2.8%</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302680.7MWh/yr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0.73%</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220648.4MWh/yr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2206.5h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25.19</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X</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Y</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Z</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尾流后风速</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最大入流角</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理论发电量</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尾流损失</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满发小时</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上网电量</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37567435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777.3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8629.1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6250.6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37567103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5529.3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37566634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5329.0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37566539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2547238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2174.1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37566428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2547718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9130.1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2560.2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6400.4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2547993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8097.6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5510.9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37566271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2548469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7930.5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5582.6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37564324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2546894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5841.7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37564100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8289.7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37564004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6704.8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1901.9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4754.7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37563771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7351.2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2022.5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5056.2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37563234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6487.0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1814.2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4535.5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37561099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2546748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6634.7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1917.0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4792.4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37560633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7437.0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37559832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8174.0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7086.4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2047.2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942.1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10498.2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3044.5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7611.4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9649.2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2746.2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6865.6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37558014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8986.1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6330.7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37557858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2545730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8443.3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5829.9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37557668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2545265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6804.9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1938.6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4846.5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7470.5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2105.4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5263.6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37556912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7605.2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2142.0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5354.9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37556598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2544414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5543.7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2544023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2224.2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5560.5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37555632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2544281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6237.8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4424.4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37554642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7911.8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37554313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2320.7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5801.7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37553910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2539974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2482.1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6205.2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37552485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37551303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6739.3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1950.2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37550869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7586.3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5445.3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2550398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8886.6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2469.3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6173.3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2550511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825.0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5512.8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37559723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2551956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7982.9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5707.6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37559474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2552467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7160.5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1948.6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6293.2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4417.2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2553645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2127.2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37556430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2551008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818.8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5375.3</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685.2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5.31</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7816.2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-3.8</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2206.5</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5516.2</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312649.2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100.0</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2.5</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40</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100</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待提交</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7</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待提交</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40</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2.5</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40</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100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20.5</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6.0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1.6</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40</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1257.29</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314.32</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920.16</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600.97</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24038.8</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50.48</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2019.2</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60.1</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1</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40</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160</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40</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44.8</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1792.0</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11.2</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448.0</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17.6</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704.0</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2.38</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95.2</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5.25</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210.0</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6.18</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247.2</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0.24</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9.6</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110</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3000.0</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750.0</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1250.0</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2500.0</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8000.0</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2000.0</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6500.0</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6000.0</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8000.0</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2000.0</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6000.0</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1800.0</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3600.0</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900.0</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1800.0</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19.0</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华润电力武隆杨柳坪风电项目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重庆市武隆区</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缓坡中山</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588m～852m</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111.334294</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23.132694</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50.02</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I</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缓坡中山</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山地起伏较大，基础周边可能会形成高边坡，需要进行高边坡特别设计.</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10.0</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5.0</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1.5</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400</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2000</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2200</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4000</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250</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6500</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1600</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3250</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15600</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40</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440270.99</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196913.05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65104.45</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37510.29</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27594.15</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36916.54</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6152.76</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30763.78</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133750.0</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63750.0</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70000.0</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180000.0</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72000.0</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108000.0</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24500.0</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17500.0</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7000.0</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440270.99</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196913.05</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243357.94</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243357.94</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13202.54</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960.0</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12305.51</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26468.06</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39.7</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15600</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57837.46</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122500.0</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30000</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16500.0</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1500.0</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3000.0</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246937.46</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370.41</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39.7</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370.41</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410.11</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100.0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华润电力武隆杨柳坪风电项目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重庆市武隆区</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588m～852m</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111.334294</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23.132694</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50.02</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16.5km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10.0km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5.0</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1.5</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2.5MW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40</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100.0MW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220648.4</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2206.5</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40</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10085.0</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440270.99</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196913.05m³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26058.0m³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2404.0t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2018年第四季度重庆市武隆区</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542.99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37891.35</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9682.76</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6298.64</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7890.28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8037.58</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华润电力武隆杨柳坪风电项目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3900.0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重庆市武隆区</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10500.0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841155.0</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西南大区分公司</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100.0</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2.5</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220648.4</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26058.0</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2206.5</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2404.0</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10085.0</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39.7</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7890.28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370.41</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2.55</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5.0</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华润电力武隆杨柳坪风电项目</w:t>
      </w:r>
      <w:r w:rsidRPr="00D3669E">
        <w:t>位于</w:t>
      </w:r>
      <w:r>
        <w:t xml:space="preserve">重庆市武隆区</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588m～852m</w:t>
      </w:r>
      <w:r w:rsidRPr="00D3669E">
        <w:t>之间</w:t>
      </w:r>
      <w:r w:rsidRPr="00D3669E">
        <w:rPr>
          <w:rFonts w:hint="eastAsia"/>
        </w:rPr>
        <w:t>。项目地处东经</w:t>
      </w:r>
      <w:r>
        <w:rPr>
          <w:rFonts w:hint="eastAsia"/>
        </w:rPr>
        <w:t xml:space="preserve">111.334294</w:t>
      </w:r>
      <w:r w:rsidRPr="00D3669E">
        <w:rPr>
          <w:rFonts w:hint="eastAsia"/>
        </w:rPr>
        <w:t>、北纬</w:t>
      </w:r>
      <w:r>
        <w:rPr>
          <w:rFonts w:hint="eastAsia"/>
        </w:rPr>
        <w:t xml:space="preserve">23.132694</w:t>
      </w:r>
      <w:r w:rsidRPr="00D3669E">
        <w:rPr>
          <w:rFonts w:hint="eastAsia"/>
        </w:rPr>
        <w:t>之间，总区域共</w:t>
      </w:r>
      <w:r>
        <w:rPr>
          <w:rFonts w:hint="eastAsia"/>
        </w:rPr>
        <w:t xml:space="preserve">50.02</w:t>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12</w:t>
      </w:r>
      <w:bookmarkEnd w:id="224"/>
      <w:r w:rsidRPr="00D3669E">
        <w:t>个月。安装单机容量</w:t>
      </w:r>
      <w:bookmarkStart w:id="225" w:name="_Hlk26112272"/>
      <w:r w:rsidRPr="00803ABD">
        <w:rPr>
          <w:rFonts w:cs="Times New Roman"/>
          <w:noProof/>
          <w:szCs w:val="24"/>
          <w:lang w:val="zh-CN"/>
        </w:rPr>
        <w:t xml:space="preserve">2.5</w:t>
      </w:r>
      <w:bookmarkEnd w:id="225"/>
      <w:r w:rsidRPr="00D3669E">
        <w:t>MW</w:t>
      </w:r>
      <w:r w:rsidRPr="00D3669E">
        <w:t>的风力发电机组</w:t>
      </w:r>
      <w:r>
        <w:t xml:space="preserve">40</w:t>
      </w:r>
      <w:r w:rsidRPr="00D3669E">
        <w:t>台，装机容量为</w:t>
      </w:r>
      <w:r>
        <w:t xml:space="preserve">100.0</w:t>
      </w:r>
      <w:r w:rsidRPr="00D3669E">
        <w:t>MW</w:t>
      </w:r>
      <w:r w:rsidRPr="00D3669E">
        <w:t>，设计多年平均发电量</w:t>
      </w:r>
      <w:r>
        <w:rPr>
          <w:rFonts w:hint="eastAsia"/>
        </w:rPr>
        <w:t xml:space="preserve">220648.4</w:t>
      </w:r>
      <w:r w:rsidRPr="00D3669E">
        <w:rPr>
          <w:rFonts w:hint="eastAsia"/>
        </w:rPr>
        <w:t>MWh/yr</w:t>
      </w:r>
      <w:r w:rsidRPr="00D3669E">
        <w:rPr>
          <w:rFonts w:hint="eastAsia"/>
        </w:rPr>
        <w:t>，年满发小时为</w:t>
      </w:r>
      <w:r>
        <w:t xml:space="preserve">2206.5</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8"/>
        <w:gridCol w:w="1290"/>
        <w:gridCol w:w="869"/>
        <w:gridCol w:w="842"/>
        <w:gridCol w:w="1185"/>
        <w:gridCol w:w="1185"/>
        <w:gridCol w:w="1185"/>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5</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6</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51178.18</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华润电力武隆杨柳坪风电项目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100.0</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7890.28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华润电力武隆杨柳坪风电项目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40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100.0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100.0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40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40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6514.5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35.96</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72.96</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3.91</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28.79</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2.38</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7.24</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198.12</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43.32</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19314.5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103.63</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316.78</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11.15</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220648.4</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89.78</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16.46</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262.13</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48.05</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52.96</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9.71</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35.63</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6.53</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19.25</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545.5</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545.5</w:t>
      </w:r>
      <w:r w:rsidRPr="00D3669E">
        <w:rPr>
          <w:rFonts w:hint="eastAsia"/>
        </w:rPr>
        <w:t>万</w:t>
      </w:r>
      <w:r w:rsidRPr="00D3669E">
        <w:t>kWh</w:t>
      </w:r>
      <w:r w:rsidRPr="00D3669E">
        <w:rPr>
          <w:rFonts w:hint="eastAsia"/>
        </w:rPr>
        <w:t>，约折合</w:t>
      </w:r>
      <w:r w:rsidR="00B86807" w:rsidRPr="000C67BC">
        <w:rPr>
          <w:highlight w:val="green"/>
        </w:rPr>
        <w:t>1745.6</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1752.12</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7.94</w:t>
      </w:r>
      <w:r w:rsidRPr="00D3669E">
        <w:rPr>
          <w:rFonts w:hint="eastAsia"/>
        </w:rPr>
        <w:t>克标准煤</w:t>
      </w:r>
      <w:r w:rsidRPr="00D3669E">
        <w:t>/kWh</w:t>
      </w:r>
      <w:r w:rsidRPr="00D3669E">
        <w:rPr>
          <w:rFonts w:hint="eastAsia"/>
        </w:rPr>
        <w:t>（等价值），单位产值能耗为</w:t>
      </w:r>
      <w:r w:rsidR="00B86807" w:rsidRPr="00B86807">
        <w:rPr>
          <w:highlight w:val="green"/>
        </w:rPr>
        <w:t>152.71</w:t>
      </w:r>
      <w:r w:rsidRPr="00D3669E">
        <w:rPr>
          <w:rFonts w:hint="eastAsia"/>
        </w:rPr>
        <w:t>千克标准煤</w:t>
      </w:r>
      <w:r w:rsidRPr="00D3669E">
        <w:t>/</w:t>
      </w:r>
      <w:r w:rsidRPr="00D3669E">
        <w:rPr>
          <w:rFonts w:hint="eastAsia"/>
        </w:rPr>
        <w:t>万元（等价值），综合场用电率为</w:t>
      </w:r>
      <w:r w:rsidR="00B86807" w:rsidRPr="00B86807">
        <w:rPr>
          <w:highlight w:val="green"/>
        </w:rPr>
        <w:t>2.47</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100.0</w:t>
      </w:r>
      <w:r w:rsidRPr="00D3669E">
        <w:t>MW</w:t>
      </w:r>
      <w:r w:rsidRPr="00D3669E">
        <w:rPr>
          <w:rFonts w:hint="eastAsia"/>
        </w:rPr>
        <w:t>，预计建成投产后年上网电量为</w:t>
      </w:r>
      <w:r w:rsidR="00587F51">
        <w:rPr>
          <w:highlight w:val="green"/>
        </w:rPr>
        <w:lastRenderedPageBreak/>
        <w:t xml:space="preserve">220648.4</w:t>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19314.5</w:t>
      </w:r>
      <w:r w:rsidRPr="00D3669E">
        <w:t>t</w:t>
      </w:r>
      <w:r w:rsidRPr="00D3669E">
        <w:rPr>
          <w:rFonts w:hint="eastAsia"/>
        </w:rPr>
        <w:t>，总耗电约</w:t>
      </w:r>
      <w:r w:rsidR="00521A52">
        <w:rPr>
          <w:highlight w:val="green"/>
        </w:rPr>
        <w:t xml:space="preserve">103.63</w:t>
      </w:r>
      <w:r w:rsidRPr="00D3669E">
        <w:rPr>
          <w:rFonts w:hint="eastAsia"/>
        </w:rPr>
        <w:t>万</w:t>
      </w:r>
      <w:r w:rsidRPr="00D3669E">
        <w:t>kWh</w:t>
      </w:r>
      <w:r w:rsidRPr="00D3669E">
        <w:rPr>
          <w:rFonts w:hint="eastAsia"/>
        </w:rPr>
        <w:t>，柴油总消耗量约</w:t>
      </w:r>
      <w:r w:rsidR="00521A52">
        <w:rPr>
          <w:highlight w:val="green"/>
        </w:rPr>
        <w:t xml:space="preserve">316.78</w:t>
      </w:r>
      <w:r w:rsidRPr="00D3669E">
        <w:rPr>
          <w:rFonts w:hint="eastAsia"/>
        </w:rPr>
        <w:t>t</w:t>
      </w:r>
      <w:r w:rsidRPr="00D3669E">
        <w:rPr>
          <w:rFonts w:hint="eastAsia"/>
        </w:rPr>
        <w:t>，汽油总消耗量约</w:t>
      </w:r>
      <w:r w:rsidR="00521A52">
        <w:rPr>
          <w:highlight w:val="green"/>
        </w:rPr>
        <w:t xml:space="preserve">11.15</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545.5</w:t>
      </w:r>
      <w:r w:rsidRPr="00D3669E">
        <w:rPr>
          <w:rFonts w:hint="eastAsia"/>
        </w:rPr>
        <w:t>万</w:t>
      </w:r>
      <w:r w:rsidRPr="00D3669E">
        <w:t>kWh</w:t>
      </w:r>
      <w:r w:rsidRPr="00D3669E">
        <w:rPr>
          <w:rFonts w:hint="eastAsia"/>
        </w:rPr>
        <w:t>，约折合</w:t>
      </w:r>
      <w:r w:rsidR="00521A52">
        <w:rPr>
          <w:highlight w:val="green"/>
        </w:rPr>
        <w:t xml:space="preserve">1745.6</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1752.12</w:t>
      </w:r>
      <w:r w:rsidRPr="00D3669E">
        <w:rPr>
          <w:rFonts w:hint="eastAsia"/>
        </w:rPr>
        <w:t>吨标准煤（等价值）。单位产品综合能耗为</w:t>
      </w:r>
      <w:r w:rsidR="00CF7513">
        <w:rPr>
          <w:highlight w:val="green"/>
        </w:rPr>
        <w:t xml:space="preserve">7.94</w:t>
      </w:r>
      <w:r w:rsidRPr="00D3669E">
        <w:rPr>
          <w:rFonts w:hint="eastAsia"/>
        </w:rPr>
        <w:t>克标准煤</w:t>
      </w:r>
      <w:r w:rsidRPr="00D3669E">
        <w:t>/kWh</w:t>
      </w:r>
      <w:r w:rsidRPr="00D3669E">
        <w:rPr>
          <w:rFonts w:hint="eastAsia"/>
        </w:rPr>
        <w:t>（等价值），单位产值能耗为</w:t>
      </w:r>
      <w:r w:rsidR="00CF7513">
        <w:rPr>
          <w:highlight w:val="green"/>
        </w:rPr>
        <w:t xml:space="preserve">152.71</w:t>
      </w:r>
      <w:r w:rsidRPr="00D3669E">
        <w:rPr>
          <w:rFonts w:hint="eastAsia"/>
        </w:rPr>
        <w:t>千克标准煤</w:t>
      </w:r>
      <w:r w:rsidRPr="00D3669E">
        <w:t>/</w:t>
      </w:r>
      <w:r w:rsidRPr="00D3669E">
        <w:rPr>
          <w:rFonts w:hint="eastAsia"/>
        </w:rPr>
        <w:t>万元（等价值），综合场用电率为</w:t>
      </w:r>
      <w:r w:rsidR="00CF7513">
        <w:rPr>
          <w:highlight w:val="green"/>
        </w:rPr>
        <w:t xml:space="preserve">2.47</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31F98" w14:textId="77777777" w:rsidR="00524607" w:rsidRDefault="00524607">
      <w:pPr>
        <w:spacing w:line="240" w:lineRule="auto"/>
      </w:pPr>
      <w:r>
        <w:separator/>
      </w:r>
    </w:p>
  </w:endnote>
  <w:endnote w:type="continuationSeparator" w:id="0">
    <w:p w14:paraId="103CE0DF" w14:textId="77777777" w:rsidR="00524607" w:rsidRDefault="00524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151C99" w:rsidRDefault="00151C9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C0F3176" w:rsidR="00151C99" w:rsidRDefault="00151C9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1E3192" w:rsidRPr="001E3192">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151C99" w:rsidRDefault="00524607" w:rsidP="0075614A">
        <w:pPr>
          <w:pStyle w:val="ab"/>
          <w:pBdr>
            <w:top w:val="single" w:sz="4" w:space="1" w:color="auto"/>
          </w:pBdr>
        </w:pPr>
        <w:sdt>
          <w:sdtPr>
            <w:id w:val="2081172199"/>
            <w:docPartObj>
              <w:docPartGallery w:val="Page Numbers (Bottom of Page)"/>
              <w:docPartUnique/>
            </w:docPartObj>
          </w:sdtPr>
          <w:sdtEndPr/>
          <w:sdtContent>
            <w:r w:rsidR="00151C99">
              <w:fldChar w:fldCharType="begin"/>
            </w:r>
            <w:r w:rsidR="00151C99">
              <w:instrText>PAGE   \* MERGEFORMAT</w:instrText>
            </w:r>
            <w:r w:rsidR="00151C99">
              <w:fldChar w:fldCharType="separate"/>
            </w:r>
            <w:r w:rsidR="00151C99" w:rsidRPr="002B3864">
              <w:rPr>
                <w:noProof/>
                <w:lang w:val="zh-CN"/>
              </w:rPr>
              <w:t>224</w:t>
            </w:r>
            <w:r w:rsidR="00151C99">
              <w:fldChar w:fldCharType="end"/>
            </w:r>
            <w:r w:rsidR="00151C99">
              <w:t xml:space="preserve">                                                     </w:t>
            </w:r>
            <w:r w:rsidR="00151C99">
              <w:rPr>
                <w:rFonts w:ascii="楷体" w:eastAsia="楷体" w:hAnsi="楷体" w:hint="eastAsia"/>
              </w:rPr>
              <w:t>深圳智润新能源电力勘测设计院有限公司</w:t>
            </w:r>
          </w:sdtContent>
        </w:sdt>
      </w:p>
      <w:p w14:paraId="00D754CC" w14:textId="77777777" w:rsidR="00151C99" w:rsidRDefault="0052460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2F53289B" w:rsidR="00151C99" w:rsidRPr="00664E6B" w:rsidRDefault="0052460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151C99">
              <w:rPr>
                <w:rFonts w:ascii="楷体" w:eastAsia="楷体" w:hAnsi="楷体" w:hint="eastAsia"/>
              </w:rPr>
              <w:t xml:space="preserve">深圳智润新能源电力勘测设计院有限公司  </w:t>
            </w:r>
            <w:r w:rsidR="00151C99">
              <w:rPr>
                <w:rFonts w:ascii="楷体" w:eastAsia="楷体" w:hAnsi="楷体"/>
              </w:rPr>
              <w:t xml:space="preserve">                                                   </w:t>
            </w:r>
            <w:r w:rsidR="00151C99">
              <w:fldChar w:fldCharType="begin"/>
            </w:r>
            <w:r w:rsidR="00151C99">
              <w:instrText>PAGE   \* MERGEFORMAT</w:instrText>
            </w:r>
            <w:r w:rsidR="00151C99">
              <w:fldChar w:fldCharType="separate"/>
            </w:r>
            <w:r w:rsidR="001E3192" w:rsidRPr="001E3192">
              <w:rPr>
                <w:noProof/>
                <w:lang w:val="zh-CN"/>
              </w:rPr>
              <w:t>122</w:t>
            </w:r>
            <w:r w:rsidR="00151C99">
              <w:fldChar w:fldCharType="end"/>
            </w:r>
          </w:sdtContent>
        </w:sdt>
      </w:p>
    </w:sdtContent>
  </w:sdt>
  <w:p w14:paraId="4A54529D" w14:textId="77777777" w:rsidR="00151C99" w:rsidRDefault="00151C99"/>
  <w:p w14:paraId="1FF23B36" w14:textId="77777777" w:rsidR="00151C99" w:rsidRDefault="00151C9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359DC4C" w:rsidR="00151C99" w:rsidRPr="003225B6" w:rsidRDefault="00151C9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1E3192" w:rsidRPr="001E3192">
              <w:rPr>
                <w:rFonts w:ascii="Times New Roman" w:hAnsi="Times New Roman"/>
                <w:noProof/>
                <w:lang w:val="zh-CN"/>
              </w:rPr>
              <w:t>137</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151C99" w:rsidRDefault="00151C9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151C99" w:rsidRDefault="00151C9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151C99" w:rsidRDefault="00151C9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151C99" w:rsidRPr="00466E8F" w:rsidRDefault="00151C9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151C99" w:rsidRPr="004A5884" w:rsidRDefault="00524607" w:rsidP="00E54360">
    <w:pPr>
      <w:pStyle w:val="ab"/>
      <w:pBdr>
        <w:top w:val="single" w:sz="4" w:space="1" w:color="auto"/>
      </w:pBdr>
    </w:pPr>
    <w:sdt>
      <w:sdtPr>
        <w:id w:val="208696642"/>
        <w:docPartObj>
          <w:docPartGallery w:val="Page Numbers (Bottom of Page)"/>
          <w:docPartUnique/>
        </w:docPartObj>
      </w:sdtPr>
      <w:sdtEndPr/>
      <w:sdtContent>
        <w:r w:rsidR="00151C99">
          <w:rPr>
            <w:rFonts w:ascii="楷体" w:eastAsia="楷体" w:hAnsi="楷体" w:hint="eastAsia"/>
          </w:rPr>
          <w:t xml:space="preserve">深圳智润新能源电力勘测设计院有限公司 </w:t>
        </w:r>
        <w:r w:rsidR="00151C99">
          <w:rPr>
            <w:rFonts w:ascii="楷体" w:eastAsia="楷体" w:hAnsi="楷体"/>
          </w:rPr>
          <w:t xml:space="preserve">                                                  </w:t>
        </w:r>
        <w:r w:rsidR="00151C99">
          <w:rPr>
            <w:rFonts w:ascii="楷体" w:eastAsia="楷体" w:hAnsi="楷体" w:hint="eastAsia"/>
          </w:rPr>
          <w:t xml:space="preserve"> </w:t>
        </w:r>
        <w:r w:rsidR="00151C99">
          <w:t>75</w:t>
        </w:r>
      </w:sdtContent>
    </w:sdt>
    <w:r w:rsidR="00151C9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30854CB" w:rsidR="00151C99" w:rsidRDefault="00151C9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77D81" w:rsidRPr="00B77D8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6726410" w:rsidR="00151C99" w:rsidRDefault="00151C9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77D81" w:rsidRPr="00B77D81">
              <w:rPr>
                <w:rFonts w:ascii="Times New Roman" w:hAnsi="Times New Roman"/>
                <w:noProof/>
                <w:lang w:val="zh-CN"/>
              </w:rPr>
              <w:t>17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151C99" w:rsidRPr="004A5884" w:rsidRDefault="00151C9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12568" w14:textId="77777777" w:rsidR="00524607" w:rsidRDefault="00524607">
      <w:pPr>
        <w:spacing w:line="240" w:lineRule="auto"/>
      </w:pPr>
      <w:r>
        <w:separator/>
      </w:r>
    </w:p>
  </w:footnote>
  <w:footnote w:type="continuationSeparator" w:id="0">
    <w:p w14:paraId="3AC2542D" w14:textId="77777777" w:rsidR="00524607" w:rsidRDefault="00524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151C99" w:rsidRPr="00A51778" w:rsidRDefault="00151C9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151C99" w:rsidRDefault="00151C99"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151C99" w:rsidRDefault="00151C99"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151C99" w:rsidRDefault="00151C99"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151C99" w:rsidRDefault="00151C99"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151C99" w:rsidRPr="00766C81" w:rsidRDefault="00151C9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151C99" w:rsidRDefault="00151C9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151C99" w:rsidRDefault="00151C9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华润电力武隆杨柳坪风电项目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151C99" w:rsidRPr="00DD14AF" w:rsidRDefault="00151C99"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151C99" w:rsidRPr="00DD14AF" w:rsidRDefault="00151C99" w:rsidP="00E54894">
    <w:pPr>
      <w:pStyle w:val="ad"/>
      <w:jc w:val="left"/>
    </w:pPr>
    <w:r w:rsidRPr="00DB0529">
      <w:rPr>
        <w:rFonts w:hint="eastAsia"/>
      </w:rPr>
      <w:t xml:space="preserve">华润电力武隆杨柳坪风电项目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151C99" w:rsidRDefault="00151C9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151C99" w:rsidRPr="000020D8" w:rsidRDefault="00151C9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151C99" w:rsidRDefault="00151C9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151C99" w:rsidRDefault="00151C9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151C99" w:rsidRPr="00466E8F" w:rsidRDefault="00151C9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151C99" w:rsidRDefault="00151C9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151C99" w:rsidRPr="00F81F79" w:rsidRDefault="00151C99"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华润电力武隆杨柳坪风电项目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151C99" w:rsidRDefault="00151C99"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151C99" w:rsidRDefault="00151C99"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4607"/>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5" Type="http://schemas.openxmlformats.org/officeDocument/2006/relationships/footer" Target="footer13.xml"/><Relationship Id="rId15" Type="http://schemas.openxmlformats.org/officeDocument/2006/relationships/header" Target="header3.xml"/><Relationship Id="rId37" Type="http://schemas.openxmlformats.org/officeDocument/2006/relationships/image" Target="media/image6.png"/><Relationship Id="rId34" Type="http://schemas.openxmlformats.org/officeDocument/2006/relationships/footer" Target="footer10.xml"/><Relationship Id="rId40" Type="http://schemas.openxmlformats.org/officeDocument/2006/relationships/footer" Target="footer11.xml"/><Relationship Id="rId16" Type="http://schemas.openxmlformats.org/officeDocument/2006/relationships/footer" Target="footer3.xml"/><Relationship Id="rId22" Type="http://schemas.openxmlformats.org/officeDocument/2006/relationships/header" Target="header7.xml"/><Relationship Id="rId47" Type="http://schemas.openxmlformats.org/officeDocument/2006/relationships/theme" Target="theme/theme1.xml"/><Relationship Id="rId39" Type="http://schemas.openxmlformats.org/officeDocument/2006/relationships/header" Target="header16.xml"/><Relationship Id="rId6" Type="http://schemas.openxmlformats.org/officeDocument/2006/relationships/footnotes" Target="footnotes.xml"/><Relationship Id="rId33" Type="http://schemas.openxmlformats.org/officeDocument/2006/relationships/footer" Target="footer9.xml"/><Relationship Id="rId24" Type="http://schemas.openxmlformats.org/officeDocument/2006/relationships/footer" Target="footer7.xml"/><Relationship Id="rId30" Type="http://schemas.openxmlformats.org/officeDocument/2006/relationships/header" Target="header12.xml"/><Relationship Id="rId8" Type="http://schemas.openxmlformats.org/officeDocument/2006/relationships/image" Target="media/image1.jpeg"/><Relationship Id="rId44" Type="http://schemas.openxmlformats.org/officeDocument/2006/relationships/header" Target="header19.xml"/><Relationship Id="rId23" Type="http://schemas.openxmlformats.org/officeDocument/2006/relationships/footer" Target="footer6.xml"/><Relationship Id="rId41" Type="http://schemas.openxmlformats.org/officeDocument/2006/relationships/footer" Target="footer12.xml"/><Relationship Id="rId19" Type="http://schemas.openxmlformats.org/officeDocument/2006/relationships/footer" Target="footer4.xml"/><Relationship Id="rId11" Type="http://schemas.openxmlformats.org/officeDocument/2006/relationships/header" Target="header1.xml"/><Relationship Id="rId43" Type="http://schemas.openxmlformats.org/officeDocument/2006/relationships/header" Target="header18.xml"/><Relationship Id="rId38" Type="http://schemas.openxmlformats.org/officeDocument/2006/relationships/header" Target="header15.xml"/><Relationship Id="rId18" Type="http://schemas.openxmlformats.org/officeDocument/2006/relationships/header" Target="header5.xml"/><Relationship Id="rId14" Type="http://schemas.openxmlformats.org/officeDocument/2006/relationships/footer" Target="footer2.xml"/><Relationship Id="rId3" Type="http://schemas.openxmlformats.org/officeDocument/2006/relationships/styles" Target="styles.xml"/><Relationship Id="rId4" Type="http://schemas.openxmlformats.org/officeDocument/2006/relationships/settings" Target="settings.xml"/><Relationship Id="rId25" Type="http://schemas.openxmlformats.org/officeDocument/2006/relationships/footer" Target="footer8.xml"/><Relationship Id="rId36" Type="http://schemas.openxmlformats.org/officeDocument/2006/relationships/hyperlink" Target="file:///E:\1&#27861;&#35268;&#27861;&#35268;\GB%2012523-2011&#24314;&#31569;&#26045;&#24037;&#22330;&#30028;&#29615;&#22659;&#22122;&#22768;&#25490;&#25918;&#26631;&#20934;.pdf" TargetMode="External"/><Relationship Id="rId21" Type="http://schemas.openxmlformats.org/officeDocument/2006/relationships/header" Target="header6.xml"/><Relationship Id="rId28" Type="http://schemas.openxmlformats.org/officeDocument/2006/relationships/header" Target="header10.xml"/><Relationship Id="rId35" Type="http://schemas.openxmlformats.org/officeDocument/2006/relationships/image" Target="media/image5.png"/><Relationship Id="rId13" Type="http://schemas.openxmlformats.org/officeDocument/2006/relationships/footer" Target="footer1.xml"/><Relationship Id="rId42" Type="http://schemas.openxmlformats.org/officeDocument/2006/relationships/header" Target="header17.xml"/><Relationship Id="rId9" Type="http://schemas.openxmlformats.org/officeDocument/2006/relationships/image" Target="media/image2.png"/><Relationship Id="rId7" Type="http://schemas.openxmlformats.org/officeDocument/2006/relationships/endnotes" Target="endnotes.xml"/><Relationship Id="rId32" Type="http://schemas.openxmlformats.org/officeDocument/2006/relationships/header" Target="header14.xml"/><Relationship Id="rId20" Type="http://schemas.openxmlformats.org/officeDocument/2006/relationships/footer" Target="footer5.xml"/><Relationship Id="rId12" Type="http://schemas.openxmlformats.org/officeDocument/2006/relationships/header" Target="header2.xml"/><Relationship Id="rId46" Type="http://schemas.openxmlformats.org/officeDocument/2006/relationships/fontTable" Target="fontTable.xml"/><Relationship Id="rId1" Type="http://schemas.openxmlformats.org/officeDocument/2006/relationships/customXml" Target="../customXml/item1.xml"/><Relationship Id="rId10" Type="http://schemas.openxmlformats.org/officeDocument/2006/relationships/image" Target="cid:image001.png@01D31FA3.02F7A230" TargetMode="External"/><Relationship Id="rId2" Type="http://schemas.openxmlformats.org/officeDocument/2006/relationships/numbering" Target="numbering.xml"/><Relationship Id="rId27" Type="http://schemas.openxmlformats.org/officeDocument/2006/relationships/header" Target="header9.xml"/><Relationship Id="rId29" Type="http://schemas.openxmlformats.org/officeDocument/2006/relationships/header" Target="header11.xml"/><Relationship Id="rId17" Type="http://schemas.openxmlformats.org/officeDocument/2006/relationships/header" Target="header4.xml"/><Relationship Id="rId26" Type="http://schemas.openxmlformats.org/officeDocument/2006/relationships/header" Target="header8.xml"/><Relationship Id="rId31" Type="http://schemas.openxmlformats.org/officeDocument/2006/relationships/header" Target="header13.xml"/><Relationship Id="rId5" Type="http://schemas.openxmlformats.org/officeDocument/2006/relationships/webSettings" Target="web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C06C-F1BA-4AD7-8F66-86BDB680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141</Pages>
  <Words>14327</Words>
  <Characters>81666</Characters>
  <Application>Microsoft Office Word</Application>
  <DocSecurity>0</DocSecurity>
  <Lines>680</Lines>
  <Paragraphs>191</Paragraphs>
  <ScaleCrop>false</ScaleCrop>
  <Company>Microsoft</Company>
  <LinksUpToDate>false</LinksUpToDate>
  <CharactersWithSpaces>95802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225</cp:revision>
  <cp:lastPrinted>2019-10-29T06:20:00Z</cp:lastPrinted>
  <dcterms:created xsi:type="dcterms:W3CDTF">2019-10-16T07:33:00Z</dcterms:created>
  <dcterms:modified xsi:type="dcterms:W3CDTF">2019-12-11T08:55:00Z</dcterms:modified>
</cp:coreProperties>
</file>