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江苏高邮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江苏高邮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江苏高邮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2F8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待提交3</w:t>
      </w:r>
    </w:p>
    <w:p w14:paraId="06BC98CB" w14:textId="6BCC53F9" w:rsidR="00EB5D61" w:rsidRPr="00D3669E" w:rsidRDefault="00D76C4B" w:rsidP="00C129B3">
      <w:pPr>
        <w:pStyle w:val="01maintext"/>
      </w:pPr>
      <w:r>
        <w:rPr>
          <w:rFonts w:hint="eastAsia"/>
          <w:highlight w:val="green"/>
        </w:rPr>
        <w:t xml:space="preserve">江苏高邮</w:t>
      </w:r>
      <w:r w:rsidR="00EB5D61" w:rsidRPr="00D3669E">
        <w:rPr>
          <w:rFonts w:hint="eastAsia"/>
        </w:rPr>
        <w:t>，</w:t>
      </w:r>
      <w:r w:rsidR="00EB5D61" w:rsidRPr="00D3669E">
        <w:t>位于</w:t>
      </w:r>
      <w:r w:rsidR="00C1636F">
        <w:rPr>
          <w:rFonts w:hint="eastAsia"/>
          <w:highlight w:val="green"/>
        </w:rPr>
        <w:t xml:space="preserve">154.7</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之间，总区域共</w:t>
      </w:r>
      <w:r w:rsidR="00492394">
        <w:rPr>
          <w:rFonts w:hint="eastAsia"/>
          <w:highlight w:val="green"/>
        </w:rPr>
        <w:t xml:space="preserve"/>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江苏高邮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江苏高邮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154.7</w:t>
      </w:r>
      <w:r w:rsidRPr="00D3669E">
        <w:t>电源结构，促进</w:t>
      </w:r>
      <w:r w:rsidR="00C1636F">
        <w:rPr>
          <w:rFonts w:hint="eastAsia"/>
          <w:highlight w:val="green"/>
        </w:rPr>
        <w:t xml:space="preserve">154.7</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r>
      <w:r w:rsidRPr="00D3669E">
        <w:rPr>
          <w:rFonts w:hint="eastAsia"/>
        </w:rPr>
        <w:t>座测风塔</w:t>
      </w:r>
      <w:r w:rsidR="000B0766">
        <w:rPr>
          <w:rFonts w:hint="eastAsia"/>
          <w:highlight w:val="green"/>
        </w:rPr>
        <w:t xml:space="preserve"/>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00C75E58">
        <w:rPr>
          <w:rFonts w:hint="eastAsia"/>
          <w:highlight w:val="green"/>
        </w:rPr>
        <w:t xml:space="preserve"/>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江苏高邮</w:t>
      </w:r>
      <w:r w:rsidR="00F80639" w:rsidRPr="00D3669E">
        <w:t>风能资源在</w:t>
      </w:r>
      <w:r w:rsidR="00C1636F">
        <w:rPr>
          <w:rFonts w:hint="eastAsia"/>
          <w:highlight w:val="green"/>
        </w:rPr>
        <w:t xml:space="preserve">154.7</w:t>
      </w:r>
      <w:r w:rsidR="00F80639" w:rsidRPr="00D3669E">
        <w:t>境内相对较好，对外交通便利，并网条件好，是建设风电场较好场址；开发</w:t>
      </w:r>
      <w:r>
        <w:rPr>
          <w:rFonts w:hint="eastAsia"/>
          <w:highlight w:val="green"/>
        </w:rPr>
        <w:t xml:space="preserve">江苏高邮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154.7</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江苏高邮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bookmarkStart w:id="45" w:name="_GoBack"/>
      <w:bookmarkEnd w:id="45"/>
      <w:r w:rsidRPr="00A36276">
        <w:rPr>
          <w:rFonts w:hint="eastAsia"/>
          <w:highlight w:val="green"/>
        </w:rPr>
        <w:t xml:space="preserve"/>
      </w:r>
    </w:p>
    <w:p w14:paraId="539A063C" w14:textId="1C600288" w:rsidR="00CE10A3" w:rsidRPr="00D3669E" w:rsidRDefault="00D76C4B" w:rsidP="00C129B3">
      <w:pPr>
        <w:pStyle w:val="01maintext"/>
      </w:pPr>
      <w:r w:rsidRPr="0027290B">
        <w:rPr>
          <w:rFonts w:hint="eastAsia"/>
          <w:highlight w:val="green"/>
        </w:rPr>
        <w:t xml:space="preserve">江苏高邮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lastRenderedPageBreak/>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年上网电量</w:t>
      </w:r>
      <w:r w:rsidR="00D74420">
        <w:rPr>
          <w:highlight w:val="green"/>
        </w:rPr>
        <w:t xml:space="preserve"/>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w:t>
      </w:r>
      <w:r w:rsidRPr="00D3669E">
        <w:lastRenderedPageBreak/>
        <w:t>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7890.28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8037.58</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154.7</w:t>
      </w:r>
      <w:r w:rsidRPr="00D3669E">
        <w:t>电源结构，促进</w:t>
      </w:r>
      <w:r w:rsidR="00C1636F">
        <w:rPr>
          <w:rFonts w:hint="eastAsia"/>
          <w:highlight w:val="green"/>
        </w:rPr>
        <w:t xml:space="preserve">154.7</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江苏高邮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lastRenderedPageBreak/>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154.7</w:t>
      </w:r>
      <w:r w:rsidRPr="00D3669E">
        <w:rPr>
          <w:rFonts w:eastAsiaTheme="minorEastAsia" w:hint="eastAsia"/>
        </w:rPr>
        <w:t>境内，为</w:t>
      </w:r>
      <w:r w:rsidR="00784621">
        <w:rPr>
          <w:rFonts w:hint="eastAsia"/>
          <w:highlight w:val="green"/>
        </w:rPr>
        <w:t xml:space="preserve"/>
      </w:r>
      <w:r w:rsidRPr="00D3669E">
        <w:rPr>
          <w:rFonts w:eastAsiaTheme="minorEastAsia" w:hint="eastAsia"/>
        </w:rPr>
        <w:t>风电场，场址内海拔高程在</w:t>
      </w:r>
      <w:r w:rsidR="00492394">
        <w:rPr>
          <w:rFonts w:eastAsiaTheme="minorEastAsia" w:hint="eastAsia"/>
          <w:highlight w:val="green"/>
        </w:rPr>
        <w:t xml:space="preserve"/>
      </w:r>
      <w:r w:rsidRPr="00D3669E">
        <w:rPr>
          <w:rFonts w:eastAsiaTheme="minorEastAsia" w:hint="eastAsia"/>
        </w:rPr>
        <w:t>之间，风机尽量布置在山顶风资源较好的位置，即各机位处</w:t>
      </w:r>
      <w:r w:rsidR="00A769E9" w:rsidRPr="00805648">
        <w:rPr>
          <w:highlight w:val="green"/>
        </w:rPr>
        <w:t xml:space="preserve"/>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MWh/yr</w:t>
      </w:r>
      <w:r w:rsidRPr="00D3669E">
        <w:t>，年满发小时为</w:t>
      </w:r>
      <w:r w:rsidR="00503395">
        <w:rPr>
          <w:highlight w:val="green"/>
        </w:rPr>
        <w:t xml:space="preserve"/>
      </w:r>
      <w:r w:rsidRPr="00D3669E">
        <w:t>h</w:t>
      </w:r>
      <w:r w:rsidRPr="00D3669E">
        <w:t>，容量系数为</w:t>
      </w:r>
      <w:r w:rsidR="0034100A">
        <w:rPr>
          <w:highlight w:val="green"/>
        </w:rPr>
        <w:t xml:space="preserve"/>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7890.28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8037.58</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111.334294</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23.132694</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26058.0</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2404.0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5.0</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7890.28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8037.58</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37891.35</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9682.76</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6298.64</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541"/>
        <w:gridCol w:w="2821"/>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0"/>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9"/>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0"/>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江苏高邮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154.7</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111.334294</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23.132694</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江苏高邮</w:t>
      </w:r>
      <w:r w:rsidRPr="00803ABD">
        <w:rPr>
          <w:rFonts w:ascii="Times New Roman" w:eastAsia="宋体" w:hAnsi="Times New Roman" w:cs="宋体"/>
          <w:sz w:val="24"/>
        </w:rPr>
        <w:t>位于</w:t>
      </w:r>
      <w:r w:rsidRPr="00803ABD">
        <w:rPr>
          <w:rFonts w:ascii="Times New Roman" w:eastAsia="宋体" w:hAnsi="Times New Roman" w:cs="宋体"/>
          <w:sz w:val="24"/>
        </w:rPr>
        <w:t xml:space="preserve">154.7</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111.334294</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23.132694</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10085.0</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26058.0m³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2404.0t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2018年第四季度154.7</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542.99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37891.35</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9682.76</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6298.64</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7890.28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8037.58</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江苏高邮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3900.0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154.7</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10500.0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841155.0</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华南大区</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26058.0</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2404.0</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10085.0</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7890.28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2.55</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5.0</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江苏高邮</w:t>
      </w:r>
      <w:r w:rsidRPr="00D3669E">
        <w:t>位于</w:t>
      </w:r>
      <w:r>
        <w:t xml:space="preserve">154.7</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r>
      <w:r w:rsidRPr="00D3669E">
        <w:t>之间</w:t>
      </w:r>
      <w:r w:rsidRPr="00D3669E">
        <w:rPr>
          <w:rFonts w:hint="eastAsia"/>
        </w:rPr>
        <w:t>。项目地处东经</w:t>
      </w:r>
      <w:r>
        <w:rPr>
          <w:rFonts w:hint="eastAsia"/>
        </w:rPr>
        <w:t xml:space="preserve">111.334294</w:t>
      </w:r>
      <w:r w:rsidRPr="00D3669E">
        <w:rPr>
          <w:rFonts w:hint="eastAsia"/>
        </w:rPr>
        <w:t>、北纬</w:t>
      </w:r>
      <w:r>
        <w:rPr>
          <w:rFonts w:hint="eastAsia"/>
        </w:rPr>
        <w:t xml:space="preserve">23.132694</w:t>
      </w:r>
      <w:r w:rsidRPr="00D3669E">
        <w:rPr>
          <w:rFonts w:hint="eastAsia"/>
        </w:rPr>
        <w:t>之间，总区域共</w:t>
      </w:r>
      <w:r>
        <w:rPr>
          <w:rFonts w:hint="eastAsia"/>
        </w:rPr>
        <w:t xml:space="preserve"/>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12</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
      </w:r>
      <w:r w:rsidRPr="00D3669E">
        <w:t>MW</w:t>
      </w:r>
      <w:r w:rsidRPr="00D3669E">
        <w:t>，设计多年平均发电量</w:t>
      </w:r>
      <w:r>
        <w:rPr>
          <w:rFonts w:hint="eastAsia"/>
        </w:rPr>
        <w:t xml:space="preserve"/>
      </w:r>
      <w:r w:rsidRPr="00D3669E">
        <w:rPr>
          <w:rFonts w:hint="eastAsia"/>
        </w:rPr>
        <w:t>MWh/yr</w:t>
      </w:r>
      <w:r w:rsidRPr="00D3669E">
        <w:rPr>
          <w:rFonts w:hint="eastAsia"/>
        </w:rPr>
        <w:t>，年满发小时为</w:t>
      </w:r>
      <w:r>
        <w:t xml:space="preserve"/>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8"/>
        <w:gridCol w:w="1290"/>
        <w:gridCol w:w="869"/>
        <w:gridCol w:w="842"/>
        <w:gridCol w:w="1185"/>
        <w:gridCol w:w="1185"/>
        <w:gridCol w:w="1185"/>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5</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6</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51178.18</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江苏高邮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7890.28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江苏高邮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6514.5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35.96</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72.96</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3.91</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28.79</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2.38</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7.24</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168.76</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40.79</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19314.5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103.63</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284.89</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11.15</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89.78</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16.46</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262.13</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48.05</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52.96</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9.71</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35.63</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6.53</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19.25</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545.5</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545.5</w:t>
      </w:r>
      <w:r w:rsidRPr="00D3669E">
        <w:rPr>
          <w:rFonts w:hint="eastAsia"/>
        </w:rPr>
        <w:t>万</w:t>
      </w:r>
      <w:r w:rsidRPr="00D3669E">
        <w:t>kWh</w:t>
      </w:r>
      <w:r w:rsidRPr="00D3669E">
        <w:rPr>
          <w:rFonts w:hint="eastAsia"/>
        </w:rPr>
        <w:t>，约折合</w:t>
      </w:r>
      <w:r w:rsidR="00B86807" w:rsidRPr="000C67BC">
        <w:rPr>
          <w:highlight w:val="green"/>
        </w:rPr>
        <w:t>1745.6</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1752.12</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7.94</w:t>
      </w:r>
      <w:r w:rsidRPr="00D3669E">
        <w:rPr>
          <w:rFonts w:hint="eastAsia"/>
        </w:rPr>
        <w:t>克标准煤</w:t>
      </w:r>
      <w:r w:rsidRPr="00D3669E">
        <w:t>/kWh</w:t>
      </w:r>
      <w:r w:rsidRPr="00D3669E">
        <w:rPr>
          <w:rFonts w:hint="eastAsia"/>
        </w:rPr>
        <w:t>（等价值），单位产值能耗为</w:t>
      </w:r>
      <w:r w:rsidR="00B86807" w:rsidRPr="00B86807">
        <w:rPr>
          <w:highlight w:val="green"/>
        </w:rPr>
        <w:t>152.71</w:t>
      </w:r>
      <w:r w:rsidRPr="00D3669E">
        <w:rPr>
          <w:rFonts w:hint="eastAsia"/>
        </w:rPr>
        <w:t>千克标准煤</w:t>
      </w:r>
      <w:r w:rsidRPr="00D3669E">
        <w:t>/</w:t>
      </w:r>
      <w:r w:rsidRPr="00D3669E">
        <w:rPr>
          <w:rFonts w:hint="eastAsia"/>
        </w:rPr>
        <w:t>万元（等价值），综合场用电率为</w:t>
      </w:r>
      <w:r w:rsidR="00B86807" w:rsidRPr="00B86807">
        <w:rPr>
          <w:highlight w:val="green"/>
        </w:rPr>
        <w:t>2.47</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00587F51">
        <w:rPr>
          <w:highlight w:val="green"/>
        </w:rPr>
        <w:lastRenderedPageBreak/>
        <w:t xml:space="preserve"/>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19314.5</w:t>
      </w:r>
      <w:r w:rsidRPr="00D3669E">
        <w:t>t</w:t>
      </w:r>
      <w:r w:rsidRPr="00D3669E">
        <w:rPr>
          <w:rFonts w:hint="eastAsia"/>
        </w:rPr>
        <w:t>，总耗电约</w:t>
      </w:r>
      <w:r w:rsidR="00521A52">
        <w:rPr>
          <w:highlight w:val="green"/>
        </w:rPr>
        <w:t xml:space="preserve">103.63</w:t>
      </w:r>
      <w:r w:rsidRPr="00D3669E">
        <w:rPr>
          <w:rFonts w:hint="eastAsia"/>
        </w:rPr>
        <w:t>万</w:t>
      </w:r>
      <w:r w:rsidRPr="00D3669E">
        <w:t>kWh</w:t>
      </w:r>
      <w:r w:rsidRPr="00D3669E">
        <w:rPr>
          <w:rFonts w:hint="eastAsia"/>
        </w:rPr>
        <w:t>，柴油总消耗量约</w:t>
      </w:r>
      <w:r w:rsidR="00521A52">
        <w:rPr>
          <w:highlight w:val="green"/>
        </w:rPr>
        <w:t xml:space="preserve">284.89</w:t>
      </w:r>
      <w:r w:rsidRPr="00D3669E">
        <w:rPr>
          <w:rFonts w:hint="eastAsia"/>
        </w:rPr>
        <w:t>t</w:t>
      </w:r>
      <w:r w:rsidRPr="00D3669E">
        <w:rPr>
          <w:rFonts w:hint="eastAsia"/>
        </w:rPr>
        <w:t>，汽油总消耗量约</w:t>
      </w:r>
      <w:r w:rsidR="00521A52">
        <w:rPr>
          <w:highlight w:val="green"/>
        </w:rPr>
        <w:t xml:space="preserve">11.15</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545.5</w:t>
      </w:r>
      <w:r w:rsidRPr="00D3669E">
        <w:rPr>
          <w:rFonts w:hint="eastAsia"/>
        </w:rPr>
        <w:t>万</w:t>
      </w:r>
      <w:r w:rsidRPr="00D3669E">
        <w:t>kWh</w:t>
      </w:r>
      <w:r w:rsidRPr="00D3669E">
        <w:rPr>
          <w:rFonts w:hint="eastAsia"/>
        </w:rPr>
        <w:t>，约折合</w:t>
      </w:r>
      <w:r w:rsidR="00521A52">
        <w:rPr>
          <w:highlight w:val="green"/>
        </w:rPr>
        <w:t xml:space="preserve">1745.6</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1752.12</w:t>
      </w:r>
      <w:r w:rsidRPr="00D3669E">
        <w:rPr>
          <w:rFonts w:hint="eastAsia"/>
        </w:rPr>
        <w:t>吨标准煤（等价值）。单位产品综合能耗为</w:t>
      </w:r>
      <w:r w:rsidR="00CF7513">
        <w:rPr>
          <w:highlight w:val="green"/>
        </w:rPr>
        <w:t xml:space="preserve">7.94</w:t>
      </w:r>
      <w:r w:rsidRPr="00D3669E">
        <w:rPr>
          <w:rFonts w:hint="eastAsia"/>
        </w:rPr>
        <w:t>克标准煤</w:t>
      </w:r>
      <w:r w:rsidRPr="00D3669E">
        <w:t>/kWh</w:t>
      </w:r>
      <w:r w:rsidRPr="00D3669E">
        <w:rPr>
          <w:rFonts w:hint="eastAsia"/>
        </w:rPr>
        <w:t>（等价值），单位产值能耗为</w:t>
      </w:r>
      <w:r w:rsidR="00CF7513">
        <w:rPr>
          <w:highlight w:val="green"/>
        </w:rPr>
        <w:t xml:space="preserve">152.71</w:t>
      </w:r>
      <w:r w:rsidRPr="00D3669E">
        <w:rPr>
          <w:rFonts w:hint="eastAsia"/>
        </w:rPr>
        <w:t>千克标准煤</w:t>
      </w:r>
      <w:r w:rsidRPr="00D3669E">
        <w:t>/</w:t>
      </w:r>
      <w:r w:rsidRPr="00D3669E">
        <w:rPr>
          <w:rFonts w:hint="eastAsia"/>
        </w:rPr>
        <w:t>万元（等价值），综合场用电率为</w:t>
      </w:r>
      <w:r w:rsidR="00CF7513">
        <w:rPr>
          <w:highlight w:val="green"/>
        </w:rPr>
        <w:t xml:space="preserve">2.47</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江苏高邮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154.7</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BA9B8" w14:textId="77777777" w:rsidR="00396DCF" w:rsidRDefault="00396DCF">
      <w:pPr>
        <w:spacing w:line="240" w:lineRule="auto"/>
      </w:pPr>
      <w:r>
        <w:separator/>
      </w:r>
    </w:p>
  </w:endnote>
  <w:endnote w:type="continuationSeparator" w:id="0">
    <w:p w14:paraId="646340D6" w14:textId="77777777" w:rsidR="00396DCF" w:rsidRDefault="0039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75B7032"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FC2F82" w:rsidRDefault="00FC2F8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FC2F82" w:rsidRDefault="00FC2F8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2884EA91" w:rsidR="00FC2F82" w:rsidRPr="00664E6B" w:rsidRDefault="00FC2F8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04558" w:rsidRPr="00C04558">
              <w:rPr>
                <w:noProof/>
                <w:lang w:val="zh-CN"/>
              </w:rPr>
              <w:t>122</w:t>
            </w:r>
            <w:r>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F0D2E2"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2F8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E29DB85"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49828C37"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F0F" w14:textId="77777777" w:rsidR="00396DCF" w:rsidRDefault="00396DCF">
      <w:pPr>
        <w:spacing w:line="240" w:lineRule="auto"/>
      </w:pPr>
      <w:r>
        <w:separator/>
      </w:r>
    </w:p>
  </w:footnote>
  <w:footnote w:type="continuationSeparator" w:id="0">
    <w:p w14:paraId="63CD6D47" w14:textId="77777777" w:rsidR="00396DCF" w:rsidRDefault="0039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江苏高邮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江苏高邮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江苏高邮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9" Type="http://schemas.openxmlformats.org/officeDocument/2006/relationships/footer" Target="footer4.xml"/><Relationship Id="rId8" Type="http://schemas.openxmlformats.org/officeDocument/2006/relationships/image" Target="media/image1.jpeg"/><Relationship Id="rId5" Type="http://schemas.openxmlformats.org/officeDocument/2006/relationships/webSettings" Target="webSettings.xml"/><Relationship Id="rId30" Type="http://schemas.openxmlformats.org/officeDocument/2006/relationships/header" Target="header12.xml"/><Relationship Id="rId37" Type="http://schemas.openxmlformats.org/officeDocument/2006/relationships/image" Target="media/image6.png"/><Relationship Id="rId36" Type="http://schemas.openxmlformats.org/officeDocument/2006/relationships/hyperlink" Target="file:///E:\1&#27861;&#35268;&#27861;&#35268;\GB%2012523-2011&#24314;&#31569;&#26045;&#24037;&#22330;&#30028;&#29615;&#22659;&#22122;&#22768;&#25490;&#25918;&#26631;&#20934;.pdf" TargetMode="External"/><Relationship Id="rId6" Type="http://schemas.openxmlformats.org/officeDocument/2006/relationships/footnotes" Target="footnotes.xml"/><Relationship Id="rId45" Type="http://schemas.openxmlformats.org/officeDocument/2006/relationships/footer" Target="footer13.xml"/><Relationship Id="rId34" Type="http://schemas.openxmlformats.org/officeDocument/2006/relationships/footer" Target="footer10.xml"/><Relationship Id="rId33" Type="http://schemas.openxmlformats.org/officeDocument/2006/relationships/footer" Target="footer9.xml"/><Relationship Id="rId16" Type="http://schemas.openxmlformats.org/officeDocument/2006/relationships/footer" Target="footer3.xml"/><Relationship Id="rId46" Type="http://schemas.openxmlformats.org/officeDocument/2006/relationships/fontTable" Target="fontTable.xml"/><Relationship Id="rId12" Type="http://schemas.openxmlformats.org/officeDocument/2006/relationships/header" Target="header2.xml"/><Relationship Id="rId13" Type="http://schemas.openxmlformats.org/officeDocument/2006/relationships/footer" Target="footer1.xml"/><Relationship Id="rId28" Type="http://schemas.openxmlformats.org/officeDocument/2006/relationships/header" Target="header10.xml"/><Relationship Id="rId10" Type="http://schemas.openxmlformats.org/officeDocument/2006/relationships/image" Target="cid:image001.png@01D31FA3.02F7A230" TargetMode="External"/><Relationship Id="rId25" Type="http://schemas.openxmlformats.org/officeDocument/2006/relationships/footer" Target="footer8.xml"/><Relationship Id="rId39" Type="http://schemas.openxmlformats.org/officeDocument/2006/relationships/header" Target="header16.xml"/><Relationship Id="rId7" Type="http://schemas.openxmlformats.org/officeDocument/2006/relationships/endnotes" Target="endnotes.xml"/><Relationship Id="rId35" Type="http://schemas.openxmlformats.org/officeDocument/2006/relationships/image" Target="media/image5.png"/><Relationship Id="rId40" Type="http://schemas.openxmlformats.org/officeDocument/2006/relationships/footer" Target="footer11.xml"/><Relationship Id="rId20" Type="http://schemas.openxmlformats.org/officeDocument/2006/relationships/footer" Target="footer5.xml"/><Relationship Id="rId9" Type="http://schemas.openxmlformats.org/officeDocument/2006/relationships/image" Target="media/image2.png"/><Relationship Id="rId44" Type="http://schemas.openxmlformats.org/officeDocument/2006/relationships/header" Target="header19.xml"/><Relationship Id="rId15" Type="http://schemas.openxmlformats.org/officeDocument/2006/relationships/header" Target="header3.xml"/><Relationship Id="rId3" Type="http://schemas.openxmlformats.org/officeDocument/2006/relationships/styles" Target="styles.xml"/><Relationship Id="rId42" Type="http://schemas.openxmlformats.org/officeDocument/2006/relationships/header" Target="header17.xml"/><Relationship Id="rId14" Type="http://schemas.openxmlformats.org/officeDocument/2006/relationships/footer" Target="footer2.xml"/><Relationship Id="rId41" Type="http://schemas.openxmlformats.org/officeDocument/2006/relationships/footer" Target="footer12.xml"/><Relationship Id="rId18" Type="http://schemas.openxmlformats.org/officeDocument/2006/relationships/header" Target="header5.xml"/><Relationship Id="rId1" Type="http://schemas.openxmlformats.org/officeDocument/2006/relationships/customXml" Target="../customXml/item1.xml"/><Relationship Id="rId17" Type="http://schemas.openxmlformats.org/officeDocument/2006/relationships/header" Target="header4.xml"/><Relationship Id="rId21" Type="http://schemas.openxmlformats.org/officeDocument/2006/relationships/header" Target="header6.xml"/><Relationship Id="rId47" Type="http://schemas.openxmlformats.org/officeDocument/2006/relationships/theme" Target="theme/theme1.xml"/><Relationship Id="rId26" Type="http://schemas.openxmlformats.org/officeDocument/2006/relationships/header" Target="header8.xml"/><Relationship Id="rId11" Type="http://schemas.openxmlformats.org/officeDocument/2006/relationships/header" Target="header1.xml"/><Relationship Id="rId29" Type="http://schemas.openxmlformats.org/officeDocument/2006/relationships/header" Target="header11.xml"/><Relationship Id="rId23" Type="http://schemas.openxmlformats.org/officeDocument/2006/relationships/footer" Target="footer6.xml"/><Relationship Id="rId27" Type="http://schemas.openxmlformats.org/officeDocument/2006/relationships/header" Target="header9.xml"/><Relationship Id="rId4" Type="http://schemas.openxmlformats.org/officeDocument/2006/relationships/settings" Target="settings.xml"/><Relationship Id="rId38" Type="http://schemas.openxmlformats.org/officeDocument/2006/relationships/header" Target="header15.xml"/><Relationship Id="rId43" Type="http://schemas.openxmlformats.org/officeDocument/2006/relationships/header" Target="header18.xml"/><Relationship Id="rId32" Type="http://schemas.openxmlformats.org/officeDocument/2006/relationships/header" Target="header14.xml"/><Relationship Id="rId24" Type="http://schemas.openxmlformats.org/officeDocument/2006/relationships/footer" Target="footer7.xml"/><Relationship Id="rId2" Type="http://schemas.openxmlformats.org/officeDocument/2006/relationships/numbering" Target="numbering.xml"/><Relationship Id="rId22" Type="http://schemas.openxmlformats.org/officeDocument/2006/relationships/header" Target="header7.xml"/><Relationship Id="rId31"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D8E-2E45-45C7-A894-3A8CE4F5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227</cp:revision>
  <cp:lastPrinted>2019-10-29T06:20:00Z</cp:lastPrinted>
  <dcterms:created xsi:type="dcterms:W3CDTF">2019-10-16T07:33:00Z</dcterms:created>
  <dcterms:modified xsi:type="dcterms:W3CDTF">2019-12-11T09:37:00Z</dcterms:modified>
</cp:coreProperties>
</file>