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ADDRESS_001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ADDRESS_001</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ADDRESS_002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PERSON_007, PERSON_008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ADDRESS_003</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DOB_003</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ADDRESS_004</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ADDRESS_005</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COMPANY_005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ADDRESS_003</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PERSON_007 or PERSON_008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ADDRESS_003,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ADDRESS_007</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DOB_003</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COMPANY_001</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DOB_004</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ADDRESS_004</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ADDRESS_009</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t xml:space="preserve">, </w:t>
      </w:r>
      <w:r>
        <w:rPr>
          <w:rStyle w:val="None"/>
          <w:i w:val="1"/>
          <w:iCs w:val="1"/>
          <w:spacing w:val="-1"/>
          <w:sz w:val="20"/>
          <w:szCs w:val="20"/>
          <w:rtl w:val="0"/>
          <w:lang w:val="it-IT"/>
        </w:rPr>
        <w:t>COMPANY_002.</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COMPANY_001, a public limited company incorporated under the Companies Act, 1956, having its registered office at ADDRESS_004</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ADDRESS_010</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ADDRESS_011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the years ended DOB_018, DOB_019 and DOB_020,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t>, DOB_019</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ADDRESS_012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ADDRESS_013</w:t>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ADDRESS_014</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DOB_003,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PERSON_024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CIR/CFD/POLICYCELL/DOB_023 dated DOB_024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DOB_027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ADDRESS_003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ADDRESS_003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ADDRESS_003</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DOB_028,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DOB_029</w:t>
            </w:r>
            <w:r>
              <w:rPr>
                <w:rStyle w:val="Hyperlink.7"/>
                <w:spacing w:val="-2"/>
                <w:sz w:val="18"/>
                <w:szCs w:val="18"/>
                <w:shd w:val="nil" w:color="auto" w:fill="auto"/>
                <w:rtl w:val="0"/>
                <w:lang w:val="en-US"/>
              </w:rPr>
            </w:r>
            <w:r>
              <w:rPr>
                <w:rStyle w:val="Hyperlink.6"/>
                <w:sz w:val="18"/>
                <w:szCs w:val="18"/>
                <w:shd w:val="nil" w:color="auto" w:fill="auto"/>
                <w:rtl w:val="0"/>
                <w:lang w:val="en-US"/>
              </w:rPr>
              <w:t>,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DOB_029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DOB_031,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DOB_035</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DOB_017 and for the years ended DOB_018, DOB_019 and DOB_020,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PERSON_016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t xml:space="preserve">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DOB_036</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DOB_037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DOB_038</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DOB_036</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DOB_037</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DOB_038</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DOB_018</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DOB_019</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DOB_018,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DOB_045 until DOB_046, except for the Fiscals ended DOB_047, and DOB_048;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DOB_045 until DOB_049, (b) between the DOB_050 until</w:t>
      </w:r>
      <w:r>
        <w:rPr>
          <w:rStyle w:val="None"/>
          <w:spacing w:val="40"/>
          <w:sz w:val="20"/>
          <w:szCs w:val="20"/>
          <w:rtl w:val="0"/>
          <w:lang w:val="en-US"/>
        </w:rPr>
        <w:t xml:space="preserve"> </w:t>
      </w:r>
      <w:r>
        <w:rPr>
          <w:rStyle w:val="Hyperlink.4"/>
          <w:sz w:val="20"/>
          <w:szCs w:val="20"/>
          <w:rtl w:val="0"/>
          <w:lang w:val="en-US"/>
        </w:rPr>
        <w:t>DOB_051,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DOB_053;</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DOB_054;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DOB_058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DOB_066</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DOB_066,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DOB_067,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DOB_069</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DOB_070</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DOB_071</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DOB_072</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ADDRESS_015</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DOB_073</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DOB_042.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DOB_074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DOB_075,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DOB_076.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DOB_077, we have not experienced downgrading in our credit COMPANY_017 received in the last three-month period ended DOB_017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DOB_075,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DOB_081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DOB_082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DOB_025</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DOB_084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DOB_085</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DOB_025 and DOB_027,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ADDRESS_016</w:t>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ADDRESS_016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ADDRESS_016</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t>ADDRESS_016</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officeADDRESS_017</w:t>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spacing w:before="0" w:line="430" w:lineRule="atLeast"/>
        <w:ind w:right="6992"/>
      </w:pPr>
      <w:r>
        <w:rPr>
          <w:rStyle w:val="Hyperlink.4"/>
          <w:rtl w:val="0"/>
          <w:lang w:val="en-US"/>
        </w:rPr>
        <w:t>ADDRESS_017</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ADDRESS_017</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ADDRESS_018</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PERSON_052</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ADDRESS_020</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ADDRESS_021</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ADDRESS_022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t>.</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ADDRESS_023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Hotel, Shivajinagar, Model Colony, ADDRESS_024</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PERSON_053</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ADDRESS_025</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ADDRESS_026,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PERSON_055</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ADDRESS_028</w:t>
      </w:r>
    </w:p>
    <w:p>
      <w:pPr>
        <w:pStyle w:val="Body Text"/>
        <w:ind w:left="88" w:right="8220" w:firstLine="0"/>
      </w:pPr>
      <w:r>
        <w:rPr>
          <w:rStyle w:val="Hyperlink.4"/>
          <w:rtl w:val="0"/>
          <w:lang w:val="en-US"/>
        </w:rPr>
        <w:t>ADDRESS_029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ADDRESS_031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COMPANY_012 </w:t>
      </w:r>
      <w:r>
        <w:rPr>
          <w:rStyle w:val="Hyperlink.9"/>
          <w:rtl w:val="0"/>
          <w:lang w:val="en-US"/>
        </w:rPr>
        <w:t>ADDRESS_032</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PERSON_057</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COMPANY_012 </w:t>
      </w:r>
      <w:r>
        <w:rPr>
          <w:rStyle w:val="Hyperlink.9"/>
          <w:rtl w:val="0"/>
          <w:lang w:val="en-US"/>
        </w:rPr>
        <w:t>ADDRESS_032</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ADDRESS_035</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ADDRESS_036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ADDRESS_037</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PERSON_013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Marg Backbay Reclamation Churchgate, ADDRESS_039</w:t>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Marg Backbay Reclamation Churchgate, ADDRESS_039</w:t>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DOB_087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DOB_083</w:t>
      </w:r>
      <w:r>
        <w:rPr>
          <w:rStyle w:val="Hyperlink.5"/>
          <w:rtl w:val="0"/>
          <w:lang w:val="en-US"/>
        </w:rPr>
      </w:r>
      <w:r>
        <w:rPr>
          <w:rStyle w:val="Hyperlink.4"/>
          <w:rtl w:val="0"/>
          <w:lang w:val="en-US"/>
        </w:rPr>
        <w:t xml:space="preserve">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PERSON_064</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ADDRESS_040</w:t>
      </w:r>
      <w:r>
        <w:rPr>
          <w:rStyle w:val="None"/>
          <w:spacing w:val="0"/>
          <w:rtl w:val="0"/>
          <w:lang w:val="en-US"/>
        </w:rPr>
      </w:r>
      <w:r>
        <w:rPr>
          <w:rStyle w:val="Hyperlink.4"/>
          <w:rtl w:val="0"/>
          <w:lang w:val="en-US"/>
        </w:rPr>
        <w:t xml:space="preserve"> Opp Harshal Hall </w:t>
      </w:r>
      <w:r>
        <w:rPr>
          <w:rStyle w:val="Hyperlink.5"/>
          <w:rtl w:val="0"/>
          <w:lang w:val="en-US"/>
        </w:rPr>
        <w:t>Kothrud</w:t>
      </w:r>
    </w:p>
    <w:p>
      <w:pPr>
        <w:pStyle w:val="Body Text"/>
        <w:spacing w:before="1"/>
        <w:ind w:left="88" w:firstLine="0"/>
      </w:pPr>
      <w:r>
        <w:rPr>
          <w:rStyle w:val="Hyperlink.4"/>
          <w:rtl w:val="0"/>
          <w:lang w:val="en-US"/>
        </w:rPr>
        <w:t>ADDRESS_041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EMAIL_016</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COMPANY_051</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ADDRESS_041</w:t>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EMAIL_016</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ADDRESS_042</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ADDRESS_043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PERSON_065</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EMAIL_018</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ADDRESS_044</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PHONE_024 </w:t>
      </w:r>
      <w:r>
        <w:rPr>
          <w:rStyle w:val="None"/>
          <w:b w:val="1"/>
          <w:bCs w:val="1"/>
          <w:sz w:val="20"/>
          <w:szCs w:val="20"/>
          <w:rtl w:val="0"/>
          <w:lang w:val="en-US"/>
        </w:rPr>
        <w:t>Contact Person</w:t>
      </w:r>
      <w:r>
        <w:rPr>
          <w:rStyle w:val="Hyperlink.9"/>
          <w:rtl w:val="0"/>
          <w:lang w:val="it-IT"/>
        </w:rPr>
        <w:t xml:space="preserve">: PERSON_066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EMAIL_019</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xml:space="preserve">: PERSON_067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EMAIL_020</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PERSON_068, CTS No. 30</w:t>
      </w:r>
    </w:p>
    <w:p>
      <w:pPr>
        <w:pStyle w:val="Body Text"/>
        <w:ind w:left="88" w:right="2250" w:firstLine="0"/>
      </w:pPr>
      <w:r>
        <w:rPr>
          <w:rStyle w:val="Hyperlink.4"/>
          <w:rtl w:val="0"/>
          <w:lang w:val="en-US"/>
        </w:rPr>
        <w:t>ADDRESS_046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ADDRESS_047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rPr>
        <w:t xml:space="preserve">: PERSON_069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EMAIL_021</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ADDRESS_046</w:t>
      </w:r>
    </w:p>
    <w:p>
      <w:pPr>
        <w:pStyle w:val="Body Text"/>
        <w:spacing w:before="2"/>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PERSON_070</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EMAIL_022</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ADDRESS_048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PERSON_072</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EMAIL_023</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PERSON_073,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PHONE_029</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PERSON_074</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EMAIL_024</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PHONE_030 </w:t>
      </w:r>
      <w:r>
        <w:rPr>
          <w:rStyle w:val="None"/>
          <w:b w:val="1"/>
          <w:bCs w:val="1"/>
          <w:sz w:val="20"/>
          <w:szCs w:val="20"/>
          <w:rtl w:val="0"/>
          <w:lang w:val="en-US"/>
        </w:rPr>
        <w:t>Contact Person</w:t>
      </w:r>
      <w:r>
        <w:rPr>
          <w:rStyle w:val="Hyperlink.9"/>
          <w:rtl w:val="0"/>
          <w:lang w:val="en-US"/>
        </w:rPr>
        <w:t xml:space="preserve">: PERSON_075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EMAIL_025</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Listing ADDRESS_049</w:t>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ADDRESS_050</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COMPANY_005 daily newspaper), all editions of Jansatta (a widely circulated Hindi COMPANY_005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ADDRESS_003</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ADDRESS_003</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COMPANY_007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PERSON_076).</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DOB_025 and DOB_027,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