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tcMar>
                    <w:left w:type="dxa" w:w="1200"/>
                    <w:right w:type="dxa" w:w="800"/>
                  </w:tcMar>
                  <w:vAlign w:val="top"/>
                </w:tcPr>
                <w:p>
                  <w:pPr>
                    <w:spacing w:before="3089"/>
                  </w:pPr>
                </w:p>
                <w:p>
                  <w:pPr>
                    <w:spacing w:after="500"/>
                  </w:pPr>
                  <w:r>
                    <w:rPr>
                      <w:rFonts w:ascii="Calibri"/>
                      <w:color w:val="D4875A"/>
                      <w:spacing w:val="60"/>
                      <w:sz w:val="18"/>
                      <w:szCs w:val="18"/>
                    </w:rPr>
                    <w:t xml:space="preserve">P U L S E G U A R D   H A N D O F F   P A C K   -   D O C U M E N T   1   O F   4</w:t>
                  </w:r>
                </w:p>
                <w:p>
                  <w:pPr>
                    <w:spacing w:after="100" w:line="874" w:lineRule="atLeast"/>
                  </w:pPr>
                  <w:r>
                    <w:rPr>
                      <w:rFonts w:ascii="Arial" w:eastAsia="SimHei"/>
                      <w:b/>
                      <w:bCs/>
                      <w:color w:val="FFFFFF"/>
                      <w:sz w:val="76"/>
                      <w:szCs w:val="76"/>
                    </w:rPr>
                    <w:t xml:space="preserve">UI Redesign</w:t>
                  </w:r>
                </w:p>
                <w:p>
                  <w:pPr>
                    <w:spacing w:after="200" w:line="874" w:lineRule="atLeast"/>
                  </w:pPr>
                  <w:r>
                    <w:rPr>
                      <w:rFonts w:ascii="Arial" w:eastAsia="SimHei"/>
                      <w:b/>
                      <w:bCs/>
                      <w:color w:val="FFFFFF"/>
                      <w:sz w:val="76"/>
                      <w:szCs w:val="76"/>
                    </w:rPr>
                    <w:t xml:space="preserve">Plan</w:t>
                  </w:r>
                </w:p>
                <w:p>
                  <w:pPr>
                    <w:spacing w:after="100"/>
                  </w:pPr>
                  <w:r>
                    <w:rPr>
                      <w:rFonts w:ascii="Arial" w:eastAsia="Microsoft YaHei"/>
                      <w:color w:val="B0B8C0"/>
                      <w:sz w:val="24"/>
                      <w:szCs w:val="24"/>
                    </w:rPr>
                    <w:t xml:space="preserve">Connector grid, Emails page, chat tool-call cards - page-by-page spec for the next agent</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tcPr>
                <w:p/>
              </w:tc>
            </w:tr>
          </w:tbl>
          <w:p>
            <w:pPr>
              <w:spacing w:before="800"/>
            </w:pPr>
          </w:p>
          <w:p>
            <w:pPr>
              <w:spacing w:after="100"/>
              <w:ind w:left="1200"/>
            </w:pPr>
            <w:r>
              <w:rPr>
                <w:rFonts w:ascii="Arial" w:eastAsia="Microsoft YaHei"/>
                <w:color w:val="90989F"/>
                <w:sz w:val="26"/>
                <w:szCs w:val="26"/>
              </w:rPr>
              <w:t xml:space="preserve">Project: PulseGuard - Build With Fastn Hackathon</w:t>
            </w:r>
          </w:p>
          <w:p>
            <w:pPr>
              <w:spacing w:after="100"/>
              <w:ind w:left="1200"/>
            </w:pPr>
            <w:r>
              <w:rPr>
                <w:rFonts w:ascii="Arial" w:eastAsia="Microsoft YaHei"/>
                <w:color w:val="90989F"/>
                <w:sz w:val="26"/>
                <w:szCs w:val="26"/>
              </w:rPr>
              <w:t xml:space="preserve">Repo: github.com/jamshidnabizada7-boop/PULSEGUARD-  (branch main)</w:t>
            </w:r>
          </w:p>
          <w:p>
            <w:pPr>
              <w:spacing w:after="100"/>
              <w:ind w:left="1200"/>
            </w:pPr>
            <w:r>
              <w:rPr>
                <w:rFonts w:ascii="Arial" w:eastAsia="Microsoft YaHei"/>
                <w:color w:val="90989F"/>
                <w:sz w:val="26"/>
                <w:szCs w:val="26"/>
              </w:rPr>
              <w:t xml:space="preserve">Basis: owner reference screenshots, September 20, 2026</w:t>
            </w:r>
          </w:p>
          <w:p>
            <w:pPr>
              <w:spacing w:after="100"/>
              <w:ind w:left="1200"/>
            </w:pPr>
            <w:r>
              <w:rPr>
                <w:rFonts w:ascii="Arial" w:eastAsia="Microsoft YaHei"/>
                <w:color w:val="90989F"/>
                <w:sz w:val="26"/>
                <w:szCs w:val="26"/>
              </w:rPr>
              <w:t xml:space="preserve">Companion docs: 02-Gmail, 03-State, 04-Video</w:t>
            </w:r>
          </w:p>
          <w:p>
            <w:pPr>
              <w:spacing w:before="2000"/>
            </w:pPr>
          </w:p>
          <w:p>
            <w:pPr>
              <w:ind w:left="1200"/>
            </w:pPr>
            <w:r>
              <w:rPr>
                <w:color w:val="909090"/>
                <w:sz w:val="22"/>
                <w:szCs w:val="22"/>
              </w:rPr>
              <w:t xml:space="preserve">PulseGuard on Fastn</w:t>
            </w:r>
            <w:r>
              <w:t xml:space="preserve">          </w:t>
            </w:r>
            <w:r>
              <w:rPr>
                <w:color w:val="909090"/>
                <w:sz w:val="22"/>
                <w:szCs w:val="22"/>
              </w:rPr>
              <w:t xml:space="preserve">Doc 1 / 4</w:t>
            </w:r>
          </w:p>
        </w:tc>
      </w:tr>
    </w:tbl>
    <w:p>
      <w:pPr>
        <w:sectPr>
          <w:pgSz w:w="11906" w:h="16838" w:orient="portrait"/>
          <w:pgMar w:top="0" w:right="0" w:bottom="0" w:left="0" w:header="708" w:footer="708" w:gutter="0"/>
          <w:pgNumType/>
          <w:docGrid w:linePitch="360"/>
        </w:sectPr>
      </w:pPr>
    </w:p>
    <w:p>
      <w:pPr>
        <w:pStyle w:val="Heading1"/>
        <w:spacing w:after="140" w:before="360" w:line="312"/>
      </w:pPr>
      <w:r>
        <w:rPr>
          <w:rFonts w:ascii="Calibri" w:eastAsia="Microsoft YaHei"/>
          <w:b/>
          <w:bCs/>
          <w:color w:val="1A2330"/>
          <w:sz w:val="30"/>
          <w:szCs w:val="30"/>
        </w:rPr>
        <w:t xml:space="preserve">1. Purpose and Reference Analysis</w:t>
      </w:r>
    </w:p>
    <w:p>
      <w:pPr>
        <w:spacing w:after="100" w:line="312"/>
        <w:jc w:val="both"/>
      </w:pPr>
      <w:r>
        <w:rPr>
          <w:rFonts w:ascii="Calibri" w:eastAsia="Microsoft YaHei"/>
          <w:b w:val="false"/>
          <w:bCs w:val="false"/>
          <w:i w:val="false"/>
          <w:iCs w:val="false"/>
          <w:color w:val="182030"/>
          <w:sz w:val="22"/>
          <w:szCs w:val="22"/>
        </w:rPr>
        <w:t xml:space="preserve">This document defines the next full redesign pass of the PulseGuard frontend (pulseguard-app), based on three reference screenshots supplied by the product owner on September 20, 2026. It is written for an AI agent or developer who will implement it. The current app is already on a flat, dark, Cursor-inspired design system - this pass upgrades specific surfaces to match the references exactly.</w:t>
      </w:r>
    </w:p>
    <w:p>
      <w:pPr>
        <w:keepNext/>
        <w:spacing w:after="80" w:before="160" w:line="312"/>
      </w:pPr>
      <w:r>
        <w:rPr>
          <w:rFonts w:ascii="Calibri" w:eastAsia="Microsoft YaHei"/>
          <w:b/>
          <w:bCs/>
          <w:color w:val="506070"/>
          <w:sz w:val="21"/>
          <w:szCs w:val="21"/>
        </w:rPr>
        <w:t xml:space="preserve">Table 1.1 - What the references do right (and what to copy)</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Pr>
      <w:tblGrid>
        <w:gridCol w:w="100"/>
        <w:gridCol w:w="100"/>
        <w:gridCol w:w="100"/>
      </w:tblGrid>
      <w:tr>
        <w:trPr>
          <w:cantSplit/>
          <w:tblHeader/>
        </w:trPr>
        <w:tc>
          <w:tcPr>
            <w:tcW w:type="pct" w:w="26%"/>
            <w:shd w:fill="D4875A" w:val="clear"/>
            <w:tcMar>
              <w:top w:type="dxa" w:w="70"/>
              <w:left w:type="dxa" w:w="120"/>
              <w:bottom w:type="dxa" w:w="70"/>
              <w:right w:type="dxa" w:w="120"/>
            </w:tcMar>
          </w:tcPr>
          <w:p>
            <w:pPr>
              <w:spacing w:line="276"/>
            </w:pPr>
            <w:r>
              <w:rPr>
                <w:rFonts w:ascii="Calibri" w:eastAsia="Microsoft YaHei"/>
                <w:b/>
                <w:bCs/>
                <w:color w:val="FFFFFF"/>
                <w:sz w:val="20"/>
                <w:szCs w:val="20"/>
              </w:rPr>
              <w:t xml:space="preserve">Reference surface</w:t>
            </w:r>
          </w:p>
        </w:tc>
        <w:tc>
          <w:tcPr>
            <w:tcW w:type="pct" w:w="40%"/>
            <w:shd w:fill="D4875A" w:val="clear"/>
            <w:tcMar>
              <w:top w:type="dxa" w:w="70"/>
              <w:left w:type="dxa" w:w="120"/>
              <w:bottom w:type="dxa" w:w="70"/>
              <w:right w:type="dxa" w:w="120"/>
            </w:tcMar>
          </w:tcPr>
          <w:p>
            <w:pPr>
              <w:spacing w:line="276"/>
            </w:pPr>
            <w:r>
              <w:rPr>
                <w:rFonts w:ascii="Calibri" w:eastAsia="Microsoft YaHei"/>
                <w:b/>
                <w:bCs/>
                <w:color w:val="FFFFFF"/>
                <w:sz w:val="20"/>
                <w:szCs w:val="20"/>
              </w:rPr>
              <w:t xml:space="preserve">What it does well</w:t>
            </w:r>
          </w:p>
        </w:tc>
        <w:tc>
          <w:tcPr>
            <w:tcW w:type="pct" w:w="34%"/>
            <w:shd w:fill="D4875A" w:val="clear"/>
            <w:tcMar>
              <w:top w:type="dxa" w:w="70"/>
              <w:left w:type="dxa" w:w="120"/>
              <w:bottom w:type="dxa" w:w="70"/>
              <w:right w:type="dxa" w:w="120"/>
            </w:tcMar>
          </w:tcPr>
          <w:p>
            <w:pPr>
              <w:spacing w:line="276"/>
            </w:pPr>
            <w:r>
              <w:rPr>
                <w:rFonts w:ascii="Calibri" w:eastAsia="Microsoft YaHei"/>
                <w:b/>
                <w:bCs/>
                <w:color w:val="FFFFFF"/>
                <w:sz w:val="20"/>
                <w:szCs w:val="20"/>
              </w:rPr>
              <w:t xml:space="preserve">Where it goes in PulseGuard</w:t>
            </w:r>
          </w:p>
        </w:tc>
      </w:tr>
      <w:tr>
        <w:trPr>
          <w:cantSplit/>
        </w:trPr>
        <w:tc>
          <w:tcPr>
            <w:tcW w:type="pct" w:w="26%"/>
            <w:tcMar>
              <w:top w:type="dxa" w:w="60"/>
              <w:left w:type="dxa" w:w="120"/>
              <w:bottom w:type="dxa" w:w="60"/>
              <w:right w:type="dxa" w:w="120"/>
            </w:tcMar>
          </w:tcPr>
          <w:p>
            <w:pPr>
              <w:spacing w:line="276"/>
            </w:pPr>
            <w:r>
              <w:rPr>
                <w:rFonts w:ascii="Calibri" w:eastAsia="Microsoft YaHei"/>
                <w:color w:val="182030"/>
                <w:sz w:val="20"/>
                <w:szCs w:val="20"/>
              </w:rPr>
              <w:t xml:space="preserve">Integrations page (Calendar/Maps/Gmail tiles)</w:t>
            </w:r>
          </w:p>
        </w:tc>
        <w:tc>
          <w:tcPr>
            <w:tcW w:type="pct" w:w="40%"/>
            <w:tcMar>
              <w:top w:type="dxa" w:w="60"/>
              <w:left w:type="dxa" w:w="120"/>
              <w:bottom w:type="dxa" w:w="60"/>
              <w:right w:type="dxa" w:w="120"/>
            </w:tcMar>
          </w:tcPr>
          <w:p>
            <w:pPr>
              <w:spacing w:line="276"/>
            </w:pPr>
            <w:r>
              <w:rPr>
                <w:rFonts w:ascii="Calibri" w:eastAsia="Microsoft YaHei"/>
                <w:color w:val="182030"/>
                <w:sz w:val="20"/>
                <w:szCs w:val="20"/>
              </w:rPr>
              <w:t xml:space="preserve">Each connector is a card with the REAL brand logo in full color on a white rounded tile, connector name, one-line description, and a subtle manage affordance. Perfectly equal card grid.</w:t>
            </w:r>
          </w:p>
        </w:tc>
        <w:tc>
          <w:tcPr>
            <w:tcW w:type="pct" w:w="34%"/>
            <w:tcMar>
              <w:top w:type="dxa" w:w="60"/>
              <w:left w:type="dxa" w:w="120"/>
              <w:bottom w:type="dxa" w:w="60"/>
              <w:right w:type="dxa" w:w="120"/>
            </w:tcMar>
          </w:tcPr>
          <w:p>
            <w:pPr>
              <w:spacing w:line="276"/>
            </w:pPr>
            <w:r>
              <w:rPr>
                <w:rFonts w:ascii="Calibri" w:eastAsia="Microsoft YaHei"/>
                <w:color w:val="182030"/>
                <w:sz w:val="20"/>
                <w:szCs w:val="20"/>
              </w:rPr>
              <w:t xml:space="preserve">Integrations page: replace the letter-chip connectors (H / # / G) with real brand SVG logos on white tiles in a 3-up grid.</w:t>
            </w:r>
          </w:p>
        </w:tc>
      </w:tr>
      <w:tr>
        <w:trPr>
          <w:cantSplit/>
        </w:trPr>
        <w:tc>
          <w:tcPr>
            <w:tcW w:type="pct" w:w="26%"/>
            <w:tcMar>
              <w:top w:type="dxa" w:w="60"/>
              <w:left w:type="dxa" w:w="120"/>
              <w:bottom w:type="dxa" w:w="60"/>
              <w:right w:type="dxa" w:w="120"/>
            </w:tcMar>
          </w:tcPr>
          <w:p>
            <w:pPr>
              <w:spacing w:line="276"/>
            </w:pPr>
            <w:r>
              <w:rPr>
                <w:rFonts w:ascii="Calibri" w:eastAsia="Microsoft YaHei"/>
                <w:color w:val="182030"/>
                <w:sz w:val="20"/>
                <w:szCs w:val="20"/>
              </w:rPr>
              <w:t xml:space="preserve">Emails dashboard (Resend-style)</w:t>
            </w:r>
          </w:p>
        </w:tc>
        <w:tc>
          <w:tcPr>
            <w:tcW w:type="pct" w:w="40%"/>
            <w:tcMar>
              <w:top w:type="dxa" w:w="60"/>
              <w:left w:type="dxa" w:w="120"/>
              <w:bottom w:type="dxa" w:w="60"/>
              <w:right w:type="dxa" w:w="120"/>
            </w:tcMar>
          </w:tcPr>
          <w:p>
            <w:pPr>
              <w:spacing w:line="276"/>
            </w:pPr>
            <w:r>
              <w:rPr>
                <w:rFonts w:ascii="Calibri" w:eastAsia="Microsoft YaHei"/>
                <w:color w:val="182030"/>
                <w:sz w:val="20"/>
                <w:szCs w:val="20"/>
              </w:rPr>
              <w:t xml:space="preserve">Email is a first-class page: search bar + status filter chips, a table (To, Status with Delivered badge, Subject, Sent time), and a detail pane with Preview/HTML tabs and a Sent to Delivered stepper.</w:t>
            </w:r>
          </w:p>
        </w:tc>
        <w:tc>
          <w:tcPr>
            <w:tcW w:type="pct" w:w="34%"/>
            <w:tcMar>
              <w:top w:type="dxa" w:w="60"/>
              <w:left w:type="dxa" w:w="120"/>
              <w:bottom w:type="dxa" w:w="60"/>
              <w:right w:type="dxa" w:w="120"/>
            </w:tcMar>
          </w:tcPr>
          <w:p>
            <w:pPr>
              <w:spacing w:line="276"/>
            </w:pPr>
            <w:r>
              <w:rPr>
                <w:rFonts w:ascii="Calibri" w:eastAsia="Microsoft YaHei"/>
                <w:color w:val="182030"/>
                <w:sz w:val="20"/>
                <w:szCs w:val="20"/>
              </w:rPr>
              <w:t xml:space="preserve">NEW Emails page in the sidebar; shows every alert email the workflows sent, with delivery status and HTML preview.</w:t>
            </w:r>
          </w:p>
        </w:tc>
      </w:tr>
      <w:tr>
        <w:trPr>
          <w:cantSplit/>
        </w:trPr>
        <w:tc>
          <w:tcPr>
            <w:tcW w:type="pct" w:w="26%"/>
            <w:tcMar>
              <w:top w:type="dxa" w:w="60"/>
              <w:left w:type="dxa" w:w="120"/>
              <w:bottom w:type="dxa" w:w="60"/>
              <w:right w:type="dxa" w:w="120"/>
            </w:tcMar>
          </w:tcPr>
          <w:p>
            <w:pPr>
              <w:spacing w:line="276"/>
            </w:pPr>
            <w:r>
              <w:rPr>
                <w:rFonts w:ascii="Calibri" w:eastAsia="Microsoft YaHei"/>
                <w:color w:val="182030"/>
                <w:sz w:val="20"/>
                <w:szCs w:val="20"/>
              </w:rPr>
              <w:t xml:space="preserve">Chat with tool approvals</w:t>
            </w:r>
          </w:p>
        </w:tc>
        <w:tc>
          <w:tcPr>
            <w:tcW w:type="pct" w:w="40%"/>
            <w:tcMar>
              <w:top w:type="dxa" w:w="60"/>
              <w:left w:type="dxa" w:w="120"/>
              <w:bottom w:type="dxa" w:w="60"/>
              <w:right w:type="dxa" w:w="120"/>
            </w:tcMar>
          </w:tcPr>
          <w:p>
            <w:pPr>
              <w:spacing w:line="276"/>
            </w:pPr>
            <w:r>
              <w:rPr>
                <w:rFonts w:ascii="Calibri" w:eastAsia="Microsoft YaHei"/>
                <w:color w:val="182030"/>
                <w:sz w:val="20"/>
                <w:szCs w:val="20"/>
              </w:rPr>
              <w:t xml:space="preserve">The assistant shows structured tool-call cards inside the conversation: action name, status (Approved, with check icon), View details link. Header has rename/refresh controls.</w:t>
            </w:r>
          </w:p>
        </w:tc>
        <w:tc>
          <w:tcPr>
            <w:tcW w:type="pct" w:w="34%"/>
            <w:tcMar>
              <w:top w:type="dxa" w:w="60"/>
              <w:left w:type="dxa" w:w="120"/>
              <w:bottom w:type="dxa" w:w="60"/>
              <w:right w:type="dxa" w:w="120"/>
            </w:tcMar>
          </w:tcPr>
          <w:p>
            <w:pPr>
              <w:spacing w:line="276"/>
            </w:pPr>
            <w:r>
              <w:rPr>
                <w:rFonts w:ascii="Calibri" w:eastAsia="Microsoft YaHei"/>
                <w:color w:val="182030"/>
                <w:sz w:val="20"/>
                <w:szCs w:val="20"/>
              </w:rPr>
              <w:t xml:space="preserve">Assistant dock: when the AI executes Acknowledge (the real Fastn workflow), render an approval card in the transcript instead of plain text.</w:t>
            </w:r>
          </w:p>
        </w:tc>
      </w:tr>
      <w:tr>
        <w:trPr>
          <w:cantSplit/>
        </w:trPr>
        <w:tc>
          <w:tcPr>
            <w:tcW w:type="pct" w:w="26%"/>
            <w:tcMar>
              <w:top w:type="dxa" w:w="60"/>
              <w:left w:type="dxa" w:w="120"/>
              <w:bottom w:type="dxa" w:w="60"/>
              <w:right w:type="dxa" w:w="120"/>
            </w:tcMar>
          </w:tcPr>
          <w:p>
            <w:pPr>
              <w:spacing w:line="276"/>
            </w:pPr>
            <w:r>
              <w:rPr>
                <w:rFonts w:ascii="Calibri" w:eastAsia="Microsoft YaHei"/>
                <w:color w:val="182030"/>
                <w:sz w:val="20"/>
                <w:szCs w:val="20"/>
              </w:rPr>
              <w:t xml:space="preserve">Overall alignment</w:t>
            </w:r>
          </w:p>
        </w:tc>
        <w:tc>
          <w:tcPr>
            <w:tcW w:type="pct" w:w="40%"/>
            <w:tcMar>
              <w:top w:type="dxa" w:w="60"/>
              <w:left w:type="dxa" w:w="120"/>
              <w:bottom w:type="dxa" w:w="60"/>
              <w:right w:type="dxa" w:w="120"/>
            </w:tcMar>
          </w:tcPr>
          <w:p>
            <w:pPr>
              <w:spacing w:line="276"/>
            </w:pPr>
            <w:r>
              <w:rPr>
                <w:rFonts w:ascii="Calibri" w:eastAsia="Microsoft YaHei"/>
                <w:color w:val="182030"/>
                <w:sz w:val="20"/>
                <w:szCs w:val="20"/>
              </w:rPr>
              <w:t xml:space="preserve">One canvas color, one hairline rule style, generous row heights, tabular numbers, left-aligned everything.</w:t>
            </w:r>
          </w:p>
        </w:tc>
        <w:tc>
          <w:tcPr>
            <w:tcW w:type="pct" w:w="34%"/>
            <w:tcMar>
              <w:top w:type="dxa" w:w="60"/>
              <w:left w:type="dxa" w:w="120"/>
              <w:bottom w:type="dxa" w:w="60"/>
              <w:right w:type="dxa" w:w="120"/>
            </w:tcMar>
          </w:tcPr>
          <w:p>
            <w:pPr>
              <w:spacing w:line="276"/>
            </w:pPr>
            <w:r>
              <w:rPr>
                <w:rFonts w:ascii="Calibri" w:eastAsia="Microsoft YaHei"/>
                <w:color w:val="182030"/>
                <w:sz w:val="20"/>
                <w:szCs w:val="20"/>
              </w:rPr>
              <w:t xml:space="preserve">Already our system - keep and extend; the new pages must reuse the existing tokens (see Section 2).</w:t>
            </w:r>
          </w:p>
        </w:tc>
      </w:tr>
    </w:tbl>
    <w:p>
      <w:pPr>
        <w:pStyle w:val="Heading1"/>
        <w:spacing w:after="140" w:before="360" w:line="312"/>
      </w:pPr>
      <w:r>
        <w:rPr>
          <w:rFonts w:ascii="Calibri" w:eastAsia="Microsoft YaHei"/>
          <w:b/>
          <w:bCs/>
          <w:color w:val="1A2330"/>
          <w:sz w:val="30"/>
          <w:szCs w:val="30"/>
        </w:rPr>
        <w:t xml:space="preserve">2. Design Tokens (existing - do not change)</w:t>
      </w:r>
    </w:p>
    <w:tbl>
      <w:tblPr>
        <w:tblW w:type="pct" w:w="100%"/>
        <w:tblBorders>
          <w:top w:val="single" w:color="DDD0C8" w:sz="2"/>
          <w:left w:val="single" w:color="DDD0C8" w:sz="2"/>
          <w:bottom w:val="single" w:color="DDD0C8" w:sz="2"/>
          <w:right w:val="single" w:color="DDD0C8" w:sz="2"/>
          <w:insideH w:val="none" w:color="FFFFFF" w:sz="0"/>
          <w:insideV w:val="none" w:color="FFFFFF" w:sz="0"/>
        </w:tblBorders>
      </w:tblPr>
      <w:tblGrid>
        <w:gridCol w:w="100"/>
      </w:tblGrid>
      <w:tr>
        <w:tc>
          <w:tcPr>
            <w:shd w:fill="F4F1EE" w:val="clear"/>
            <w:tcMar>
              <w:top w:type="dxa" w:w="90"/>
              <w:left w:type="dxa" w:w="160"/>
              <w:bottom w:type="dxa" w:w="90"/>
              <w:right w:type="dxa" w:w="160"/>
            </w:tcMar>
          </w:tcPr>
          <w:p>
            <w:pPr>
              <w:spacing w:after="20" w:line="260"/>
            </w:pPr>
            <w:r>
              <w:rPr>
                <w:rFonts w:ascii="Consolas" w:eastAsia="Microsoft YaHei"/>
                <w:color w:val="2A2A2A"/>
                <w:sz w:val="17"/>
                <w:szCs w:val="17"/>
              </w:rPr>
              <w:t xml:space="preserve">--bg: #0E0E11        (flat canvas, no gradients, no glows)</w:t>
            </w:r>
          </w:p>
          <w:p>
            <w:pPr>
              <w:spacing w:after="20" w:line="260"/>
            </w:pPr>
            <w:r>
              <w:rPr>
                <w:rFonts w:ascii="Consolas" w:eastAsia="Microsoft YaHei"/>
                <w:color w:val="2A2A2A"/>
                <w:sz w:val="17"/>
                <w:szCs w:val="17"/>
              </w:rPr>
              <w:t xml:space="preserve">--line: rgba(255,255,255,0.07)   hairline borders</w:t>
            </w:r>
          </w:p>
          <w:p>
            <w:pPr>
              <w:spacing w:after="20" w:line="260"/>
            </w:pPr>
            <w:r>
              <w:rPr>
                <w:rFonts w:ascii="Consolas" w:eastAsia="Microsoft YaHei"/>
                <w:color w:val="2A2A2A"/>
                <w:sz w:val="17"/>
                <w:szCs w:val="17"/>
              </w:rPr>
              <w:t xml:space="preserve">--line-strong: rgba(255,255,255,0.13)</w:t>
            </w:r>
          </w:p>
          <w:p>
            <w:pPr>
              <w:spacing w:after="20" w:line="260"/>
            </w:pPr>
            <w:r>
              <w:rPr>
                <w:rFonts w:ascii="Consolas" w:eastAsia="Microsoft YaHei"/>
                <w:color w:val="2A2A2A"/>
                <w:sz w:val="17"/>
                <w:szCs w:val="17"/>
              </w:rPr>
              <w:t xml:space="preserve">text: #ECECEE / dim #C6C6CB / muted #9B9BA3 / muted-dark #62626A</w:t>
            </w:r>
          </w:p>
          <w:p>
            <w:pPr>
              <w:spacing w:after="20" w:line="260"/>
            </w:pPr>
            <w:r>
              <w:rPr>
                <w:rFonts w:ascii="Consolas" w:eastAsia="Microsoft YaHei"/>
                <w:color w:val="2A2A2A"/>
                <w:sz w:val="17"/>
                <w:szCs w:val="17"/>
              </w:rPr>
              <w:t xml:space="preserve">semantic only: risk #F87171, ok #4ADE80, warn #FBBF24, ack #38BDF8, accent #A78BFA</w:t>
            </w:r>
          </w:p>
          <w:p>
            <w:pPr>
              <w:spacing w:after="20" w:line="260"/>
            </w:pPr>
            <w:r>
              <w:rPr>
                <w:rFonts w:ascii="Consolas" w:eastAsia="Microsoft YaHei"/>
                <w:color w:val="2A2A2A"/>
                <w:sz w:val="17"/>
                <w:szCs w:val="17"/>
              </w:rPr>
              <w:t xml:space="preserve">font: Inter (body), JetBrains Mono (code/numbers), tabular numerals on all metrics</w:t>
            </w:r>
          </w:p>
          <w:p>
            <w:pPr>
              <w:spacing w:after="20" w:line="260"/>
            </w:pPr>
            <w:r>
              <w:rPr>
                <w:rFonts w:ascii="Consolas" w:eastAsia="Microsoft YaHei"/>
                <w:color w:val="2A2A2A"/>
                <w:sz w:val="17"/>
                <w:szCs w:val="17"/>
              </w:rPr>
              <w:t xml:space="preserve">buttons: primary = flat white bg + dark text; ghost = transparent + hairline border</w:t>
            </w:r>
          </w:p>
          <w:p>
            <w:pPr>
              <w:spacing w:after="20" w:line="260"/>
            </w:pPr>
            <w:r>
              <w:rPr>
                <w:rFonts w:ascii="Consolas" w:eastAsia="Microsoft YaHei"/>
                <w:color w:val="2A2A2A"/>
                <w:sz w:val="17"/>
                <w:szCs w:val="17"/>
              </w:rPr>
              <w:t xml:space="preserve">cards: NO boxes on the canvas - use hairline top borders (.card) or one stat band (.kpis)</w:t>
            </w:r>
          </w:p>
        </w:tc>
      </w:tr>
    </w:tbl>
    <w:p>
      <w:pPr>
        <w:spacing w:after="100" w:line="312"/>
        <w:jc w:val="both"/>
      </w:pPr>
      <w:r>
        <w:rPr>
          <w:rFonts w:ascii="Calibri" w:eastAsia="Microsoft YaHei"/>
          <w:b w:val="false"/>
          <w:bCs w:val="false"/>
          <w:i w:val="false"/>
          <w:iCs w:val="false"/>
          <w:color w:val="182030"/>
          <w:sz w:val="22"/>
          <w:szCs w:val="22"/>
        </w:rPr>
        <w:t xml:space="preserve">New tokens introduced by this pass:</w:t>
      </w:r>
    </w:p>
    <w:p>
      <w:pPr>
        <w:pStyle w:val="ListParagraph"/>
        <w:numPr>
          <w:ilvl w:val="0"/>
          <w:numId w:val="1"/>
        </w:numPr>
        <w:spacing w:after="60" w:line="312"/>
      </w:pPr>
      <w:r>
        <w:rPr>
          <w:rFonts w:ascii="Calibri" w:eastAsia="Microsoft YaHei"/>
          <w:b w:val="false"/>
          <w:bCs w:val="false"/>
          <w:color w:val="182030"/>
          <w:sz w:val="22"/>
          <w:szCs w:val="22"/>
        </w:rPr>
        <w:t xml:space="preserve">brand-logo-tile: 36x36px, border-radius 9px, background #FFFFFF, padding 6px - contains the connector's real SVG logo. Color is allowed ONLY here (brand identity) and in semantic badges.</w:t>
      </w:r>
    </w:p>
    <w:p>
      <w:pPr>
        <w:pStyle w:val="ListParagraph"/>
        <w:numPr>
          <w:ilvl w:val="0"/>
          <w:numId w:val="1"/>
        </w:numPr>
        <w:spacing w:after="60" w:line="312"/>
      </w:pPr>
      <w:r>
        <w:rPr>
          <w:rFonts w:ascii="Calibri" w:eastAsia="Microsoft YaHei"/>
          <w:b w:val="false"/>
          <w:bCs w:val="false"/>
          <w:color w:val="182030"/>
          <w:sz w:val="22"/>
          <w:szCs w:val="22"/>
        </w:rPr>
        <w:t xml:space="preserve">email-status badges: Delivered (green dot + text, existing .badge.ok), Sent (gray), Failed (red) - plain dot+text style, no pills.</w:t>
      </w:r>
    </w:p>
    <w:p>
      <w:pPr>
        <w:pStyle w:val="Heading1"/>
        <w:spacing w:after="140" w:before="360" w:line="312"/>
      </w:pPr>
      <w:r>
        <w:rPr>
          <w:rFonts w:ascii="Calibri" w:eastAsia="Microsoft YaHei"/>
          <w:b/>
          <w:bCs/>
          <w:color w:val="1A2330"/>
          <w:sz w:val="30"/>
          <w:szCs w:val="30"/>
        </w:rPr>
        <w:t xml:space="preserve">3. Page-by-Page Specification</w:t>
      </w:r>
    </w:p>
    <w:p>
      <w:pPr>
        <w:pStyle w:val="Heading2"/>
        <w:spacing w:after="110" w:before="240" w:line="312"/>
      </w:pPr>
      <w:r>
        <w:rPr>
          <w:rFonts w:ascii="Calibri" w:eastAsia="Microsoft YaHei"/>
          <w:b/>
          <w:bCs/>
          <w:color w:val="1A2330"/>
          <w:sz w:val="25"/>
          <w:szCs w:val="25"/>
        </w:rPr>
        <w:t xml:space="preserve">3.1 Sidebar</w:t>
      </w:r>
    </w:p>
    <w:p>
      <w:pPr>
        <w:spacing w:after="100" w:line="312"/>
        <w:jc w:val="both"/>
      </w:pPr>
      <w:r>
        <w:rPr>
          <w:rFonts w:ascii="Calibri" w:eastAsia="Microsoft YaHei"/>
          <w:b w:val="false"/>
          <w:bCs w:val="false"/>
          <w:i w:val="false"/>
          <w:iCs w:val="false"/>
          <w:color w:val="182030"/>
          <w:sz w:val="22"/>
          <w:szCs w:val="22"/>
        </w:rPr>
        <w:t xml:space="preserve">Add a fourth nav item between Integrations and Activity: Emails (icon: envelope from the existing icons.jsx set; add IconMail). Order: Dashboard, Integrations, Emails, Activity. Keep the workspace card and dropdown at the bottom unchanged.</w:t>
      </w:r>
    </w:p>
    <w:p>
      <w:pPr>
        <w:pStyle w:val="Heading2"/>
        <w:spacing w:after="110" w:before="240" w:line="312"/>
      </w:pPr>
      <w:r>
        <w:rPr>
          <w:rFonts w:ascii="Calibri" w:eastAsia="Microsoft YaHei"/>
          <w:b/>
          <w:bCs/>
          <w:color w:val="1A2330"/>
          <w:sz w:val="25"/>
          <w:szCs w:val="25"/>
        </w:rPr>
        <w:t xml:space="preserve">3.2 Integrations - connector card grid (reference image 1)</w:t>
      </w:r>
    </w:p>
    <w:p>
      <w:pPr>
        <w:spacing w:after="100" w:line="312"/>
        <w:jc w:val="both"/>
      </w:pPr>
      <w:r>
        <w:rPr>
          <w:rFonts w:ascii="Calibri" w:eastAsia="Microsoft YaHei"/>
          <w:b w:val="false"/>
          <w:bCs w:val="false"/>
          <w:i w:val="false"/>
          <w:iCs w:val="false"/>
          <w:color w:val="182030"/>
          <w:sz w:val="22"/>
          <w:szCs w:val="22"/>
        </w:rPr>
        <w:t xml:space="preserve">Replace the current connector cards with a 3-column grid (2 on tablet, 1 on mobile) of connector cards. Each card:</w:t>
      </w:r>
    </w:p>
    <w:p>
      <w:pPr>
        <w:pStyle w:val="ListParagraph"/>
        <w:numPr>
          <w:ilvl w:val="0"/>
          <w:numId w:val="1"/>
        </w:numPr>
        <w:spacing w:after="60" w:line="312"/>
      </w:pPr>
      <w:r>
        <w:rPr>
          <w:rFonts w:ascii="Calibri" w:eastAsia="Microsoft YaHei"/>
          <w:b w:val="false"/>
          <w:bCs w:val="false"/>
          <w:color w:val="182030"/>
          <w:sz w:val="22"/>
          <w:szCs w:val="22"/>
        </w:rPr>
        <w:t xml:space="preserve">Brand logo tile (top-left): white tile with the real logo SVG - HubSpot sprocket (#FF7A29), Slack aubergine hash (#4A154B), Gmail red M (#EA4335 / multi-color M). Inline SVGs, no external requests.</w:t>
      </w:r>
    </w:p>
    <w:p>
      <w:pPr>
        <w:pStyle w:val="ListParagraph"/>
        <w:numPr>
          <w:ilvl w:val="0"/>
          <w:numId w:val="1"/>
        </w:numPr>
        <w:spacing w:after="60" w:line="312"/>
      </w:pPr>
      <w:r>
        <w:rPr>
          <w:rFonts w:ascii="Calibri" w:eastAsia="Microsoft YaHei"/>
          <w:b w:val="false"/>
          <w:bCs w:val="false"/>
          <w:color w:val="182030"/>
          <w:sz w:val="22"/>
          <w:szCs w:val="22"/>
        </w:rPr>
        <w:t xml:space="preserve">Name + one-line plain description: HubSpot CRM - writes the diagnosis to the customer timeline; Slack - alerts your team with a one-click Acknowledge card; Gmail - emails the account manager.</w:t>
      </w:r>
    </w:p>
    <w:p>
      <w:pPr>
        <w:pStyle w:val="ListParagraph"/>
        <w:numPr>
          <w:ilvl w:val="0"/>
          <w:numId w:val="1"/>
        </w:numPr>
        <w:spacing w:after="60" w:line="312"/>
      </w:pPr>
      <w:r>
        <w:rPr>
          <w:rFonts w:ascii="Calibri" w:eastAsia="Microsoft YaHei"/>
          <w:b w:val="false"/>
          <w:bCs w:val="false"/>
          <w:color w:val="182030"/>
          <w:sz w:val="22"/>
          <w:szCs w:val="22"/>
        </w:rPr>
        <w:t xml:space="preserve">Status row: dot + Connected (green) / Not connected (gray).</w:t>
      </w:r>
    </w:p>
    <w:p>
      <w:pPr>
        <w:pStyle w:val="ListParagraph"/>
        <w:numPr>
          <w:ilvl w:val="0"/>
          <w:numId w:val="1"/>
        </w:numPr>
        <w:spacing w:after="60" w:line="312"/>
      </w:pPr>
      <w:r>
        <w:rPr>
          <w:rFonts w:ascii="Calibri" w:eastAsia="Microsoft YaHei"/>
          <w:b w:val="false"/>
          <w:bCs w:val="false"/>
          <w:color w:val="182030"/>
          <w:sz w:val="22"/>
          <w:szCs w:val="22"/>
        </w:rPr>
        <w:t xml:space="preserve">Manage link (right of the header row): opens Fastn connectors console in a new tab (existing URL from lib/tenants.js).</w:t>
      </w:r>
    </w:p>
    <w:p>
      <w:pPr>
        <w:pStyle w:val="ListParagraph"/>
        <w:numPr>
          <w:ilvl w:val="0"/>
          <w:numId w:val="1"/>
        </w:numPr>
        <w:spacing w:after="60" w:line="312"/>
      </w:pPr>
      <w:r>
        <w:rPr>
          <w:rFonts w:ascii="Calibri" w:eastAsia="Microsoft YaHei"/>
          <w:b w:val="false"/>
          <w:bCs w:val="false"/>
          <w:color w:val="182030"/>
          <w:sz w:val="22"/>
          <w:szCs w:val="22"/>
        </w:rPr>
        <w:t xml:space="preserve">Footer: Test connection button (existing handlers) - keep the HubSpot/Slack ones; Gmail's appears only when connected.</w:t>
      </w:r>
    </w:p>
    <w:p>
      <w:pPr>
        <w:spacing w:after="100" w:line="312"/>
        <w:jc w:val="both"/>
      </w:pPr>
      <w:r>
        <w:rPr>
          <w:rFonts w:ascii="Calibri" w:eastAsia="Microsoft YaHei"/>
          <w:b w:val="false"/>
          <w:bCs w:val="false"/>
          <w:i w:val="false"/>
          <w:iCs w:val="false"/>
          <w:color w:val="182030"/>
          <w:sz w:val="22"/>
          <w:szCs w:val="22"/>
        </w:rPr>
        <w:t xml:space="preserve">Acceptance: at 1440px the three cards are equal width with equal logo tile sizes; hover raises card background to rgba(255,255,255,0.03); no letter-chip connectors remain.</w:t>
      </w:r>
    </w:p>
    <w:p>
      <w:pPr>
        <w:pStyle w:val="Heading2"/>
        <w:spacing w:after="110" w:before="240" w:line="312"/>
      </w:pPr>
      <w:r>
        <w:rPr>
          <w:rFonts w:ascii="Calibri" w:eastAsia="Microsoft YaHei"/>
          <w:b/>
          <w:bCs/>
          <w:color w:val="1A2330"/>
          <w:sz w:val="25"/>
          <w:szCs w:val="25"/>
        </w:rPr>
        <w:t xml:space="preserve">3.3 Emails page (NEW - reference image 2)</w:t>
      </w:r>
    </w:p>
    <w:p>
      <w:pPr>
        <w:spacing w:after="100" w:line="312"/>
        <w:jc w:val="both"/>
      </w:pPr>
      <w:r>
        <w:rPr>
          <w:rFonts w:ascii="Calibri" w:eastAsia="Microsoft YaHei"/>
          <w:b w:val="false"/>
          <w:bCs w:val="false"/>
          <w:i w:val="false"/>
          <w:iCs w:val="false"/>
          <w:color w:val="182030"/>
          <w:sz w:val="22"/>
          <w:szCs w:val="22"/>
        </w:rPr>
        <w:t xml:space="preserve">Route /emails, listed in the sidebar. This is the email-operations view for every alert email the system sent.</w:t>
      </w:r>
    </w:p>
    <w:p>
      <w:pPr>
        <w:pStyle w:val="ListParagraph"/>
        <w:numPr>
          <w:ilvl w:val="0"/>
          <w:numId w:val="1"/>
        </w:numPr>
        <w:spacing w:after="60" w:line="312"/>
      </w:pPr>
      <w:r>
        <w:rPr>
          <w:rFonts w:ascii="Calibri" w:eastAsia="Microsoft YaHei"/>
          <w:b w:val="false"/>
          <w:bCs w:val="false"/>
          <w:color w:val="182030"/>
          <w:sz w:val="22"/>
          <w:szCs w:val="22"/>
        </w:rPr>
        <w:t xml:space="preserve">Header: title Emails, sub Every alert email PulseGuard sent, right side: Refresh ghost button.</w:t>
      </w:r>
    </w:p>
    <w:p>
      <w:pPr>
        <w:pStyle w:val="ListParagraph"/>
        <w:numPr>
          <w:ilvl w:val="0"/>
          <w:numId w:val="1"/>
        </w:numPr>
        <w:spacing w:after="60" w:line="312"/>
      </w:pPr>
      <w:r>
        <w:rPr>
          <w:rFonts w:ascii="Calibri" w:eastAsia="Microsoft YaHei"/>
          <w:b w:val="false"/>
          <w:bCs w:val="false"/>
          <w:color w:val="182030"/>
          <w:sz w:val="22"/>
          <w:szCs w:val="22"/>
        </w:rPr>
        <w:t xml:space="preserve">Toolbar: search input (filters by To or Subject, client-side) + segmented filter (All / Delivered / Failed).</w:t>
      </w:r>
    </w:p>
    <w:p>
      <w:pPr>
        <w:pStyle w:val="ListParagraph"/>
        <w:numPr>
          <w:ilvl w:val="0"/>
          <w:numId w:val="1"/>
        </w:numPr>
        <w:spacing w:after="60" w:line="312"/>
      </w:pPr>
      <w:r>
        <w:rPr>
          <w:rFonts w:ascii="Calibri" w:eastAsia="Microsoft YaHei"/>
          <w:b w:val="false"/>
          <w:bCs w:val="false"/>
          <w:color w:val="182030"/>
          <w:sz w:val="22"/>
          <w:szCs w:val="22"/>
        </w:rPr>
        <w:t xml:space="preserve">Table columns: TO (mono, with Gmail logo tile), STATUS (Delivered / Sent / Failed badge), SUBJECT (truncated), SENT (relative time + exact on hover). Row click opens the detail pane.</w:t>
      </w:r>
    </w:p>
    <w:p>
      <w:pPr>
        <w:pStyle w:val="ListParagraph"/>
        <w:numPr>
          <w:ilvl w:val="0"/>
          <w:numId w:val="1"/>
        </w:numPr>
        <w:spacing w:after="60" w:line="312"/>
      </w:pPr>
      <w:r>
        <w:rPr>
          <w:rFonts w:ascii="Calibri" w:eastAsia="Microsoft YaHei"/>
          <w:b w:val="false"/>
          <w:bCs w:val="false"/>
          <w:color w:val="182030"/>
          <w:sz w:val="22"/>
          <w:szCs w:val="22"/>
        </w:rPr>
        <w:t xml:space="preserve">Detail pane (right side or modal on narrow screens): subject + To + From + Sent; tabs Preview | HTML; Preview renders the HTML body in a sandboxed iframe; HTML shows the source in mono. Stepper: Sent -&gt; Delivered with timestamps.</w:t>
      </w:r>
    </w:p>
    <w:p>
      <w:pPr>
        <w:pStyle w:val="ListParagraph"/>
        <w:numPr>
          <w:ilvl w:val="0"/>
          <w:numId w:val="1"/>
        </w:numPr>
        <w:spacing w:after="60" w:line="312"/>
      </w:pPr>
      <w:r>
        <w:rPr>
          <w:rFonts w:ascii="Calibri" w:eastAsia="Microsoft YaHei"/>
          <w:b w:val="false"/>
          <w:bCs w:val="false"/>
          <w:color w:val="182030"/>
          <w:sz w:val="22"/>
          <w:szCs w:val="22"/>
        </w:rPr>
        <w:t xml:space="preserve">Empty state: envelope icon + No emails yet - trigger an anomaly to see the first one.</w:t>
      </w:r>
    </w:p>
    <w:p>
      <w:pPr>
        <w:spacing w:after="100" w:line="312"/>
        <w:jc w:val="both"/>
      </w:pPr>
      <w:r>
        <w:rPr>
          <w:rFonts w:ascii="Calibri" w:eastAsia="Microsoft YaHei"/>
          <w:b/>
          <w:bCs/>
          <w:i w:val="false"/>
          <w:iCs w:val="false"/>
          <w:color w:val="182030"/>
          <w:sz w:val="22"/>
          <w:szCs w:val="22"/>
        </w:rPr>
        <w:t xml:space="preserve">Data source: </w:t>
      </w:r>
      <w:r>
        <w:rPr>
          <w:rFonts w:ascii="Calibri" w:eastAsia="Microsoft YaHei"/>
          <w:b w:val="false"/>
          <w:bCs w:val="false"/>
          <w:i w:val="false"/>
          <w:iCs w:val="false"/>
          <w:color w:val="182030"/>
          <w:sz w:val="22"/>
          <w:szCs w:val="22"/>
        </w:rPr>
        <w:t xml:space="preserve">new API route pulseguard-app/app/api/emails/route.js backed by an in-memory store (same pattern as app/api/runs/store.js). The risk engine v3 POSTs a record after a successful email-ok step: { tenant, to, subject, html, sentAt, status: 'sent' }. The route upgrades status to 'delivered' after 30 seconds (simulation - Gmail connector has no delivery webhook; document this honestly in the UI as sent/delivered estimates). See document 02 for the workflow side.</w:t>
      </w:r>
    </w:p>
    <w:p>
      <w:pPr>
        <w:pStyle w:val="Heading2"/>
        <w:spacing w:after="110" w:before="240" w:line="312"/>
      </w:pPr>
      <w:r>
        <w:rPr>
          <w:rFonts w:ascii="Calibri" w:eastAsia="Microsoft YaHei"/>
          <w:b/>
          <w:bCs/>
          <w:color w:val="1A2330"/>
          <w:sz w:val="25"/>
          <w:szCs w:val="25"/>
        </w:rPr>
        <w:t xml:space="preserve">3.4 Assistant - tool-call approval cards (reference image 3)</w:t>
      </w:r>
    </w:p>
    <w:p>
      <w:pPr>
        <w:spacing w:after="100" w:line="312"/>
        <w:jc w:val="both"/>
      </w:pPr>
      <w:r>
        <w:rPr>
          <w:rFonts w:ascii="Calibri" w:eastAsia="Microsoft YaHei"/>
          <w:b w:val="false"/>
          <w:bCs w:val="false"/>
          <w:i w:val="false"/>
          <w:iCs w:val="false"/>
          <w:color w:val="182030"/>
          <w:sz w:val="22"/>
          <w:szCs w:val="22"/>
        </w:rPr>
        <w:t xml:space="preserve">Upgrade the chat so AI actions render as structured cards in the transcript, exactly like the reference:</w:t>
      </w:r>
    </w:p>
    <w:p>
      <w:pPr>
        <w:pStyle w:val="ListParagraph"/>
        <w:numPr>
          <w:ilvl w:val="0"/>
          <w:numId w:val="1"/>
        </w:numPr>
        <w:spacing w:after="60" w:line="312"/>
      </w:pPr>
      <w:r>
        <w:rPr>
          <w:rFonts w:ascii="Calibri" w:eastAsia="Microsoft YaHei"/>
          <w:b w:val="false"/>
          <w:bCs w:val="false"/>
          <w:color w:val="182030"/>
          <w:sz w:val="22"/>
          <w:szCs w:val="22"/>
        </w:rPr>
        <w:t xml:space="preserve">When the assistant executes an Acknowledge action, insert a card: icon + Acknowledge risk + status row (check icon + Approved, or spinner + Running while in flight) + View details link that expands to show the run trace (workflow id, steps, timestamps).</w:t>
      </w:r>
    </w:p>
    <w:p>
      <w:pPr>
        <w:pStyle w:val="ListParagraph"/>
        <w:numPr>
          <w:ilvl w:val="0"/>
          <w:numId w:val="1"/>
        </w:numPr>
        <w:spacing w:after="60" w:line="312"/>
      </w:pPr>
      <w:r>
        <w:rPr>
          <w:rFonts w:ascii="Calibri" w:eastAsia="Microsoft YaHei"/>
          <w:b w:val="false"/>
          <w:bCs w:val="false"/>
          <w:color w:val="182030"/>
          <w:sz w:val="22"/>
          <w:szCs w:val="22"/>
        </w:rPr>
        <w:t xml:space="preserve">Chat header: add rename (pencil) and refresh controls - decorative but expected; refresh resets the conversation to the greeting.</w:t>
      </w:r>
    </w:p>
    <w:p>
      <w:pPr>
        <w:pStyle w:val="ListParagraph"/>
        <w:numPr>
          <w:ilvl w:val="0"/>
          <w:numId w:val="1"/>
        </w:numPr>
        <w:spacing w:after="60" w:line="312"/>
      </w:pPr>
      <w:r>
        <w:rPr>
          <w:rFonts w:ascii="Calibri" w:eastAsia="Microsoft YaHei"/>
          <w:b w:val="false"/>
          <w:bCs w:val="false"/>
          <w:color w:val="182030"/>
          <w:sz w:val="22"/>
          <w:szCs w:val="22"/>
        </w:rPr>
        <w:t xml:space="preserve">While the assistant is streaming/working, the composer send button becomes a black Stop square that aborts the fetch (AbortController).</w:t>
      </w:r>
    </w:p>
    <w:p>
      <w:pPr>
        <w:pStyle w:val="ListParagraph"/>
        <w:numPr>
          <w:ilvl w:val="0"/>
          <w:numId w:val="1"/>
        </w:numPr>
        <w:spacing w:after="60" w:line="312"/>
      </w:pPr>
      <w:r>
        <w:rPr>
          <w:rFonts w:ascii="Calibri" w:eastAsia="Microsoft YaHei"/>
          <w:b w:val="false"/>
          <w:bCs w:val="false"/>
          <w:color w:val="182030"/>
          <w:sz w:val="22"/>
          <w:szCs w:val="22"/>
        </w:rPr>
        <w:t xml:space="preserve">Keep the existing Composer anatomy (Agent pill, model label, circular send).</w:t>
      </w:r>
    </w:p>
    <w:p>
      <w:pPr>
        <w:spacing w:after="100" w:line="312"/>
        <w:jc w:val="both"/>
      </w:pPr>
      <w:r>
        <w:rPr>
          <w:rFonts w:ascii="Calibri" w:eastAsia="Microsoft YaHei"/>
          <w:b w:val="false"/>
          <w:bCs w:val="false"/>
          <w:i w:val="false"/>
          <w:iCs w:val="false"/>
          <w:color w:val="182030"/>
          <w:sz w:val="22"/>
          <w:szCs w:val="22"/>
        </w:rPr>
        <w:t xml:space="preserve">Implementation notes: the panel already receives action descriptors from /api/assistant ({action:{type:'ack',...}}). Extend the message model with {kind:'tool-card', tool:'Acknowledge risk', state:'running'|'approved', detail:{workflow, steps}} - render as a bordered card div inside .chat-msgs. No backend change needed.</w:t>
      </w:r>
    </w:p>
    <w:p>
      <w:pPr>
        <w:pStyle w:val="Heading2"/>
        <w:spacing w:after="110" w:before="240" w:line="312"/>
      </w:pPr>
      <w:r>
        <w:rPr>
          <w:rFonts w:ascii="Calibri" w:eastAsia="Microsoft YaHei"/>
          <w:b/>
          <w:bCs/>
          <w:color w:val="1A2330"/>
          <w:sz w:val="25"/>
          <w:szCs w:val="25"/>
        </w:rPr>
        <w:t xml:space="preserve">3.5 Dashboard - minor</w:t>
      </w:r>
    </w:p>
    <w:p>
      <w:pPr>
        <w:pStyle w:val="ListParagraph"/>
        <w:numPr>
          <w:ilvl w:val="0"/>
          <w:numId w:val="1"/>
        </w:numPr>
        <w:spacing w:after="60" w:line="312"/>
      </w:pPr>
      <w:r>
        <w:rPr>
          <w:rFonts w:ascii="Calibri" w:eastAsia="Microsoft YaHei"/>
          <w:b w:val="false"/>
          <w:bCs w:val="false"/>
          <w:color w:val="182030"/>
          <w:sz w:val="22"/>
          <w:szCs w:val="22"/>
        </w:rPr>
        <w:t xml:space="preserve">Pipeline step 4 copy: Team alerted - Slack card and an email to the account manager. (depends on Gmail channel being live - ship together with document 02)</w:t>
      </w:r>
    </w:p>
    <w:p>
      <w:pPr>
        <w:pStyle w:val="ListParagraph"/>
        <w:numPr>
          <w:ilvl w:val="0"/>
          <w:numId w:val="1"/>
        </w:numPr>
        <w:spacing w:after="60" w:line="312"/>
      </w:pPr>
      <w:r>
        <w:rPr>
          <w:rFonts w:ascii="Calibri" w:eastAsia="Microsoft YaHei"/>
          <w:b w:val="false"/>
          <w:bCs w:val="false"/>
          <w:color w:val="182030"/>
          <w:sz w:val="22"/>
          <w:szCs w:val="22"/>
        </w:rPr>
        <w:t xml:space="preserve">Status footer gains: Emails delivered this week: N (from /api/emails).</w:t>
      </w:r>
    </w:p>
    <w:p>
      <w:pPr>
        <w:pStyle w:val="Heading1"/>
        <w:spacing w:after="140" w:before="360" w:line="312"/>
      </w:pPr>
      <w:r>
        <w:rPr>
          <w:rFonts w:ascii="Calibri" w:eastAsia="Microsoft YaHei"/>
          <w:b/>
          <w:bCs/>
          <w:color w:val="1A2330"/>
          <w:sz w:val="30"/>
          <w:szCs w:val="30"/>
        </w:rPr>
        <w:t xml:space="preserve">4. Asset Checklist</w:t>
      </w:r>
    </w:p>
    <w:p>
      <w:pPr>
        <w:pStyle w:val="ListParagraph"/>
        <w:numPr>
          <w:ilvl w:val="0"/>
          <w:numId w:val="1"/>
        </w:numPr>
        <w:spacing w:after="60" w:line="312"/>
      </w:pPr>
      <w:r>
        <w:rPr>
          <w:rFonts w:ascii="Calibri" w:eastAsia="Microsoft YaHei"/>
          <w:b w:val="false"/>
          <w:bCs w:val="false"/>
          <w:color w:val="182030"/>
          <w:sz w:val="22"/>
          <w:szCs w:val="22"/>
        </w:rPr>
        <w:t xml:space="preserve">Brand SVG logos (inline, ~1KB each): HubSpot sprocket, Slack hash, Gmail M, Google G. Put them in components/brand-icons.jsx with a BrandLogo component ({name}) mapping to paths.</w:t>
      </w:r>
    </w:p>
    <w:p>
      <w:pPr>
        <w:pStyle w:val="ListParagraph"/>
        <w:numPr>
          <w:ilvl w:val="0"/>
          <w:numId w:val="1"/>
        </w:numPr>
        <w:spacing w:after="60" w:line="312"/>
      </w:pPr>
      <w:r>
        <w:rPr>
          <w:rFonts w:ascii="Calibri" w:eastAsia="Microsoft YaHei"/>
          <w:b w:val="false"/>
          <w:bCs w:val="false"/>
          <w:color w:val="182030"/>
          <w:sz w:val="22"/>
          <w:szCs w:val="22"/>
        </w:rPr>
        <w:t xml:space="preserve">New icon: IconMail (envelope) for the sidebar - copy the Base() pattern from components/icons.jsx.</w:t>
      </w:r>
    </w:p>
    <w:p>
      <w:pPr>
        <w:pStyle w:val="ListParagraph"/>
        <w:numPr>
          <w:ilvl w:val="0"/>
          <w:numId w:val="1"/>
        </w:numPr>
        <w:spacing w:after="60" w:line="312"/>
      </w:pPr>
      <w:r>
        <w:rPr>
          <w:rFonts w:ascii="Calibri" w:eastAsia="Microsoft YaHei"/>
          <w:b w:val="false"/>
          <w:bCs w:val="false"/>
          <w:color w:val="182030"/>
          <w:sz w:val="22"/>
          <w:szCs w:val="22"/>
        </w:rPr>
        <w:t xml:space="preserve">No new npm dependencies are needed anywhere in this redesign.</w:t>
      </w:r>
    </w:p>
    <w:p>
      <w:pPr>
        <w:pStyle w:val="Heading1"/>
        <w:spacing w:after="140" w:before="360" w:line="312"/>
      </w:pPr>
      <w:r>
        <w:rPr>
          <w:rFonts w:ascii="Calibri" w:eastAsia="Microsoft YaHei"/>
          <w:b/>
          <w:bCs/>
          <w:color w:val="1A2330"/>
          <w:sz w:val="30"/>
          <w:szCs w:val="30"/>
        </w:rPr>
        <w:t xml:space="preserve">5. Task Breakdown and Rollout Order</w:t>
      </w:r>
    </w:p>
    <w:p>
      <w:pPr>
        <w:keepNext/>
        <w:spacing w:after="80" w:before="160" w:line="312"/>
      </w:pPr>
      <w:r>
        <w:rPr>
          <w:rFonts w:ascii="Calibri" w:eastAsia="Microsoft YaHei"/>
          <w:b/>
          <w:bCs/>
          <w:color w:val="506070"/>
          <w:sz w:val="21"/>
          <w:szCs w:val="21"/>
        </w:rPr>
        <w:t xml:space="preserve">Table 5.1 - Implementation tasks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Pr>
      <w:tblGrid>
        <w:gridCol w:w="100"/>
        <w:gridCol w:w="100"/>
        <w:gridCol w:w="100"/>
        <w:gridCol w:w="100"/>
        <w:gridCol w:w="100"/>
      </w:tblGrid>
      <w:tr>
        <w:trPr>
          <w:cantSplit/>
          <w:tblHeader/>
        </w:trPr>
        <w:tc>
          <w:tcPr>
            <w:tcW w:type="pct" w:w="6%"/>
            <w:shd w:fill="D4875A" w:val="clear"/>
            <w:tcMar>
              <w:top w:type="dxa" w:w="70"/>
              <w:left w:type="dxa" w:w="120"/>
              <w:bottom w:type="dxa" w:w="70"/>
              <w:right w:type="dxa" w:w="120"/>
            </w:tcMar>
          </w:tcPr>
          <w:p>
            <w:pPr>
              <w:spacing w:line="276"/>
            </w:pPr>
            <w:r>
              <w:rPr>
                <w:rFonts w:ascii="Calibri" w:eastAsia="Microsoft YaHei"/>
                <w:b/>
                <w:bCs/>
                <w:color w:val="FFFFFF"/>
                <w:sz w:val="20"/>
                <w:szCs w:val="20"/>
              </w:rPr>
              <w:t xml:space="preserve">#</w:t>
            </w:r>
          </w:p>
        </w:tc>
        <w:tc>
          <w:tcPr>
            <w:tcW w:type="pct" w:w="34%"/>
            <w:shd w:fill="D4875A" w:val="clear"/>
            <w:tcMar>
              <w:top w:type="dxa" w:w="70"/>
              <w:left w:type="dxa" w:w="120"/>
              <w:bottom w:type="dxa" w:w="70"/>
              <w:right w:type="dxa" w:w="120"/>
            </w:tcMar>
          </w:tcPr>
          <w:p>
            <w:pPr>
              <w:spacing w:line="276"/>
            </w:pPr>
            <w:r>
              <w:rPr>
                <w:rFonts w:ascii="Calibri" w:eastAsia="Microsoft YaHei"/>
                <w:b/>
                <w:bCs/>
                <w:color w:val="FFFFFF"/>
                <w:sz w:val="20"/>
                <w:szCs w:val="20"/>
              </w:rPr>
              <w:t xml:space="preserve">Task</w:t>
            </w:r>
          </w:p>
        </w:tc>
        <w:tc>
          <w:tcPr>
            <w:tcW w:type="pct" w:w="30%"/>
            <w:shd w:fill="D4875A" w:val="clear"/>
            <w:tcMar>
              <w:top w:type="dxa" w:w="70"/>
              <w:left w:type="dxa" w:w="120"/>
              <w:bottom w:type="dxa" w:w="70"/>
              <w:right w:type="dxa" w:w="120"/>
            </w:tcMar>
          </w:tcPr>
          <w:p>
            <w:pPr>
              <w:spacing w:line="276"/>
            </w:pPr>
            <w:r>
              <w:rPr>
                <w:rFonts w:ascii="Calibri" w:eastAsia="Microsoft YaHei"/>
                <w:b/>
                <w:bCs/>
                <w:color w:val="FFFFFF"/>
                <w:sz w:val="20"/>
                <w:szCs w:val="20"/>
              </w:rPr>
              <w:t xml:space="preserve">Files</w:t>
            </w:r>
          </w:p>
        </w:tc>
        <w:tc>
          <w:tcPr>
            <w:tcW w:type="pct" w:w="10%"/>
            <w:shd w:fill="D4875A" w:val="clear"/>
            <w:tcMar>
              <w:top w:type="dxa" w:w="70"/>
              <w:left w:type="dxa" w:w="120"/>
              <w:bottom w:type="dxa" w:w="70"/>
              <w:right w:type="dxa" w:w="120"/>
            </w:tcMar>
          </w:tcPr>
          <w:p>
            <w:pPr>
              <w:spacing w:line="276"/>
            </w:pPr>
            <w:r>
              <w:rPr>
                <w:rFonts w:ascii="Calibri" w:eastAsia="Microsoft YaHei"/>
                <w:b/>
                <w:bCs/>
                <w:color w:val="FFFFFF"/>
                <w:sz w:val="20"/>
                <w:szCs w:val="20"/>
              </w:rPr>
              <w:t xml:space="preserve">Size</w:t>
            </w:r>
          </w:p>
        </w:tc>
        <w:tc>
          <w:tcPr>
            <w:tcW w:type="pct" w:w="20%"/>
            <w:shd w:fill="D4875A" w:val="clear"/>
            <w:tcMar>
              <w:top w:type="dxa" w:w="70"/>
              <w:left w:type="dxa" w:w="120"/>
              <w:bottom w:type="dxa" w:w="70"/>
              <w:right w:type="dxa" w:w="120"/>
            </w:tcMar>
          </w:tcPr>
          <w:p>
            <w:pPr>
              <w:spacing w:line="276"/>
            </w:pPr>
            <w:r>
              <w:rPr>
                <w:rFonts w:ascii="Calibri" w:eastAsia="Microsoft YaHei"/>
                <w:b/>
                <w:bCs/>
                <w:color w:val="FFFFFF"/>
                <w:sz w:val="20"/>
                <w:szCs w:val="20"/>
              </w:rPr>
              <w:t xml:space="preserve">Depends on</w:t>
            </w:r>
          </w:p>
        </w:tc>
      </w:tr>
      <w:tr>
        <w:trPr>
          <w:cantSplit/>
        </w:trPr>
        <w:tc>
          <w:tcPr>
            <w:tcW w:type="pct" w:w="6%"/>
            <w:tcMar>
              <w:top w:type="dxa" w:w="60"/>
              <w:left w:type="dxa" w:w="120"/>
              <w:bottom w:type="dxa" w:w="60"/>
              <w:right w:type="dxa" w:w="120"/>
            </w:tcMar>
          </w:tcPr>
          <w:p>
            <w:pPr>
              <w:spacing w:line="276"/>
            </w:pPr>
            <w:r>
              <w:rPr>
                <w:rFonts w:ascii="Calibri" w:eastAsia="Microsoft YaHei"/>
                <w:color w:val="182030"/>
                <w:sz w:val="20"/>
                <w:szCs w:val="20"/>
              </w:rPr>
              <w:t xml:space="preserve">1</w:t>
            </w:r>
          </w:p>
        </w:tc>
        <w:tc>
          <w:tcPr>
            <w:tcW w:type="pct" w:w="34%"/>
            <w:tcMar>
              <w:top w:type="dxa" w:w="60"/>
              <w:left w:type="dxa" w:w="120"/>
              <w:bottom w:type="dxa" w:w="60"/>
              <w:right w:type="dxa" w:w="120"/>
            </w:tcMar>
          </w:tcPr>
          <w:p>
            <w:pPr>
              <w:spacing w:line="276"/>
            </w:pPr>
            <w:r>
              <w:rPr>
                <w:rFonts w:ascii="Calibri" w:eastAsia="Microsoft YaHei"/>
                <w:color w:val="182030"/>
                <w:sz w:val="20"/>
                <w:szCs w:val="20"/>
              </w:rPr>
              <w:t xml:space="preserve">Brand logo component + IconMail</w:t>
            </w:r>
          </w:p>
        </w:tc>
        <w:tc>
          <w:tcPr>
            <w:tcW w:type="pct" w:w="30%"/>
            <w:tcMar>
              <w:top w:type="dxa" w:w="60"/>
              <w:left w:type="dxa" w:w="120"/>
              <w:bottom w:type="dxa" w:w="60"/>
              <w:right w:type="dxa" w:w="120"/>
            </w:tcMar>
          </w:tcPr>
          <w:p>
            <w:pPr>
              <w:spacing w:line="276"/>
            </w:pPr>
            <w:r>
              <w:rPr>
                <w:rFonts w:ascii="Calibri" w:eastAsia="Microsoft YaHei"/>
                <w:color w:val="182030"/>
                <w:sz w:val="20"/>
                <w:szCs w:val="20"/>
              </w:rPr>
              <w:t xml:space="preserve">components/brand-icons.jsx, components/icons.jsx</w:t>
            </w:r>
          </w:p>
        </w:tc>
        <w:tc>
          <w:tcPr>
            <w:tcW w:type="pct" w:w="10%"/>
            <w:tcMar>
              <w:top w:type="dxa" w:w="60"/>
              <w:left w:type="dxa" w:w="120"/>
              <w:bottom w:type="dxa" w:w="60"/>
              <w:right w:type="dxa" w:w="120"/>
            </w:tcMar>
          </w:tcPr>
          <w:p>
            <w:pPr>
              <w:spacing w:line="276"/>
            </w:pPr>
            <w:r>
              <w:rPr>
                <w:rFonts w:ascii="Calibri" w:eastAsia="Microsoft YaHei"/>
                <w:color w:val="182030"/>
                <w:sz w:val="20"/>
                <w:szCs w:val="20"/>
              </w:rPr>
              <w:t xml:space="preserve">S</w:t>
            </w:r>
          </w:p>
        </w:tc>
        <w:tc>
          <w:tcPr>
            <w:tcW w:type="pct" w:w="20%"/>
            <w:tcMar>
              <w:top w:type="dxa" w:w="60"/>
              <w:left w:type="dxa" w:w="120"/>
              <w:bottom w:type="dxa" w:w="60"/>
              <w:right w:type="dxa" w:w="120"/>
            </w:tcMar>
          </w:tcPr>
          <w:p>
            <w:pPr>
              <w:spacing w:line="276"/>
            </w:pPr>
            <w:r>
              <w:rPr>
                <w:rFonts w:ascii="Calibri" w:eastAsia="Microsoft YaHei"/>
                <w:color w:val="182030"/>
                <w:sz w:val="20"/>
                <w:szCs w:val="20"/>
              </w:rPr>
              <w:t xml:space="preserve">-</w:t>
            </w:r>
          </w:p>
        </w:tc>
      </w:tr>
      <w:tr>
        <w:trPr>
          <w:cantSplit/>
        </w:trPr>
        <w:tc>
          <w:tcPr>
            <w:tcW w:type="pct" w:w="6%"/>
            <w:tcMar>
              <w:top w:type="dxa" w:w="60"/>
              <w:left w:type="dxa" w:w="120"/>
              <w:bottom w:type="dxa" w:w="60"/>
              <w:right w:type="dxa" w:w="120"/>
            </w:tcMar>
          </w:tcPr>
          <w:p>
            <w:pPr>
              <w:spacing w:line="276"/>
            </w:pPr>
            <w:r>
              <w:rPr>
                <w:rFonts w:ascii="Calibri" w:eastAsia="Microsoft YaHei"/>
                <w:color w:val="182030"/>
                <w:sz w:val="20"/>
                <w:szCs w:val="20"/>
              </w:rPr>
              <w:t xml:space="preserve">2</w:t>
            </w:r>
          </w:p>
        </w:tc>
        <w:tc>
          <w:tcPr>
            <w:tcW w:type="pct" w:w="34%"/>
            <w:tcMar>
              <w:top w:type="dxa" w:w="60"/>
              <w:left w:type="dxa" w:w="120"/>
              <w:bottom w:type="dxa" w:w="60"/>
              <w:right w:type="dxa" w:w="120"/>
            </w:tcMar>
          </w:tcPr>
          <w:p>
            <w:pPr>
              <w:spacing w:line="276"/>
            </w:pPr>
            <w:r>
              <w:rPr>
                <w:rFonts w:ascii="Calibri" w:eastAsia="Microsoft YaHei"/>
                <w:color w:val="182030"/>
                <w:sz w:val="20"/>
                <w:szCs w:val="20"/>
              </w:rPr>
              <w:t xml:space="preserve">Integrations card grid with logo tiles</w:t>
            </w:r>
          </w:p>
        </w:tc>
        <w:tc>
          <w:tcPr>
            <w:tcW w:type="pct" w:w="30%"/>
            <w:tcMar>
              <w:top w:type="dxa" w:w="60"/>
              <w:left w:type="dxa" w:w="120"/>
              <w:bottom w:type="dxa" w:w="60"/>
              <w:right w:type="dxa" w:w="120"/>
            </w:tcMar>
          </w:tcPr>
          <w:p>
            <w:pPr>
              <w:spacing w:line="276"/>
            </w:pPr>
            <w:r>
              <w:rPr>
                <w:rFonts w:ascii="Calibri" w:eastAsia="Microsoft YaHei"/>
                <w:color w:val="182030"/>
                <w:sz w:val="20"/>
                <w:szCs w:val="20"/>
              </w:rPr>
              <w:t xml:space="preserve">app/integrations/page.jsx, globals.css</w:t>
            </w:r>
          </w:p>
        </w:tc>
        <w:tc>
          <w:tcPr>
            <w:tcW w:type="pct" w:w="10%"/>
            <w:tcMar>
              <w:top w:type="dxa" w:w="60"/>
              <w:left w:type="dxa" w:w="120"/>
              <w:bottom w:type="dxa" w:w="60"/>
              <w:right w:type="dxa" w:w="120"/>
            </w:tcMar>
          </w:tcPr>
          <w:p>
            <w:pPr>
              <w:spacing w:line="276"/>
            </w:pPr>
            <w:r>
              <w:rPr>
                <w:rFonts w:ascii="Calibri" w:eastAsia="Microsoft YaHei"/>
                <w:color w:val="182030"/>
                <w:sz w:val="20"/>
                <w:szCs w:val="20"/>
              </w:rPr>
              <w:t xml:space="preserve">M</w:t>
            </w:r>
          </w:p>
        </w:tc>
        <w:tc>
          <w:tcPr>
            <w:tcW w:type="pct" w:w="20%"/>
            <w:tcMar>
              <w:top w:type="dxa" w:w="60"/>
              <w:left w:type="dxa" w:w="120"/>
              <w:bottom w:type="dxa" w:w="60"/>
              <w:right w:type="dxa" w:w="120"/>
            </w:tcMar>
          </w:tcPr>
          <w:p>
            <w:pPr>
              <w:spacing w:line="276"/>
            </w:pPr>
            <w:r>
              <w:rPr>
                <w:rFonts w:ascii="Calibri" w:eastAsia="Microsoft YaHei"/>
                <w:color w:val="182030"/>
                <w:sz w:val="20"/>
                <w:szCs w:val="20"/>
              </w:rPr>
              <w:t xml:space="preserve">1</w:t>
            </w:r>
          </w:p>
        </w:tc>
      </w:tr>
      <w:tr>
        <w:trPr>
          <w:cantSplit/>
        </w:trPr>
        <w:tc>
          <w:tcPr>
            <w:tcW w:type="pct" w:w="6%"/>
            <w:tcMar>
              <w:top w:type="dxa" w:w="60"/>
              <w:left w:type="dxa" w:w="120"/>
              <w:bottom w:type="dxa" w:w="60"/>
              <w:right w:type="dxa" w:w="120"/>
            </w:tcMar>
          </w:tcPr>
          <w:p>
            <w:pPr>
              <w:spacing w:line="276"/>
            </w:pPr>
            <w:r>
              <w:rPr>
                <w:rFonts w:ascii="Calibri" w:eastAsia="Microsoft YaHei"/>
                <w:color w:val="182030"/>
                <w:sz w:val="20"/>
                <w:szCs w:val="20"/>
              </w:rPr>
              <w:t xml:space="preserve">3</w:t>
            </w:r>
          </w:p>
        </w:tc>
        <w:tc>
          <w:tcPr>
            <w:tcW w:type="pct" w:w="34%"/>
            <w:tcMar>
              <w:top w:type="dxa" w:w="60"/>
              <w:left w:type="dxa" w:w="120"/>
              <w:bottom w:type="dxa" w:w="60"/>
              <w:right w:type="dxa" w:w="120"/>
            </w:tcMar>
          </w:tcPr>
          <w:p>
            <w:pPr>
              <w:spacing w:line="276"/>
            </w:pPr>
            <w:r>
              <w:rPr>
                <w:rFonts w:ascii="Calibri" w:eastAsia="Microsoft YaHei"/>
                <w:color w:val="182030"/>
                <w:sz w:val="20"/>
                <w:szCs w:val="20"/>
              </w:rPr>
              <w:t xml:space="preserve">Emails store + API route</w:t>
            </w:r>
          </w:p>
        </w:tc>
        <w:tc>
          <w:tcPr>
            <w:tcW w:type="pct" w:w="30%"/>
            <w:tcMar>
              <w:top w:type="dxa" w:w="60"/>
              <w:left w:type="dxa" w:w="120"/>
              <w:bottom w:type="dxa" w:w="60"/>
              <w:right w:type="dxa" w:w="120"/>
            </w:tcMar>
          </w:tcPr>
          <w:p>
            <w:pPr>
              <w:spacing w:line="276"/>
            </w:pPr>
            <w:r>
              <w:rPr>
                <w:rFonts w:ascii="Calibri" w:eastAsia="Microsoft YaHei"/>
                <w:color w:val="182030"/>
                <w:sz w:val="20"/>
                <w:szCs w:val="20"/>
              </w:rPr>
              <w:t xml:space="preserve">app/api/emails/route.js, store</w:t>
            </w:r>
          </w:p>
        </w:tc>
        <w:tc>
          <w:tcPr>
            <w:tcW w:type="pct" w:w="10%"/>
            <w:tcMar>
              <w:top w:type="dxa" w:w="60"/>
              <w:left w:type="dxa" w:w="120"/>
              <w:bottom w:type="dxa" w:w="60"/>
              <w:right w:type="dxa" w:w="120"/>
            </w:tcMar>
          </w:tcPr>
          <w:p>
            <w:pPr>
              <w:spacing w:line="276"/>
            </w:pPr>
            <w:r>
              <w:rPr>
                <w:rFonts w:ascii="Calibri" w:eastAsia="Microsoft YaHei"/>
                <w:color w:val="182030"/>
                <w:sz w:val="20"/>
                <w:szCs w:val="20"/>
              </w:rPr>
              <w:t xml:space="preserve">S</w:t>
            </w:r>
          </w:p>
        </w:tc>
        <w:tc>
          <w:tcPr>
            <w:tcW w:type="pct" w:w="20%"/>
            <w:tcMar>
              <w:top w:type="dxa" w:w="60"/>
              <w:left w:type="dxa" w:w="120"/>
              <w:bottom w:type="dxa" w:w="60"/>
              <w:right w:type="dxa" w:w="120"/>
            </w:tcMar>
          </w:tcPr>
          <w:p>
            <w:pPr>
              <w:spacing w:line="276"/>
            </w:pPr>
            <w:r>
              <w:rPr>
                <w:rFonts w:ascii="Calibri" w:eastAsia="Microsoft YaHei"/>
                <w:color w:val="182030"/>
                <w:sz w:val="20"/>
                <w:szCs w:val="20"/>
              </w:rPr>
              <w:t xml:space="preserve">-</w:t>
            </w:r>
          </w:p>
        </w:tc>
      </w:tr>
      <w:tr>
        <w:trPr>
          <w:cantSplit/>
        </w:trPr>
        <w:tc>
          <w:tcPr>
            <w:tcW w:type="pct" w:w="6%"/>
            <w:tcMar>
              <w:top w:type="dxa" w:w="60"/>
              <w:left w:type="dxa" w:w="120"/>
              <w:bottom w:type="dxa" w:w="60"/>
              <w:right w:type="dxa" w:w="120"/>
            </w:tcMar>
          </w:tcPr>
          <w:p>
            <w:pPr>
              <w:spacing w:line="276"/>
            </w:pPr>
            <w:r>
              <w:rPr>
                <w:rFonts w:ascii="Calibri" w:eastAsia="Microsoft YaHei"/>
                <w:color w:val="182030"/>
                <w:sz w:val="20"/>
                <w:szCs w:val="20"/>
              </w:rPr>
              <w:t xml:space="preserve">4</w:t>
            </w:r>
          </w:p>
        </w:tc>
        <w:tc>
          <w:tcPr>
            <w:tcW w:type="pct" w:w="34%"/>
            <w:tcMar>
              <w:top w:type="dxa" w:w="60"/>
              <w:left w:type="dxa" w:w="120"/>
              <w:bottom w:type="dxa" w:w="60"/>
              <w:right w:type="dxa" w:w="120"/>
            </w:tcMar>
          </w:tcPr>
          <w:p>
            <w:pPr>
              <w:spacing w:line="276"/>
            </w:pPr>
            <w:r>
              <w:rPr>
                <w:rFonts w:ascii="Calibri" w:eastAsia="Microsoft YaHei"/>
                <w:color w:val="182030"/>
                <w:sz w:val="20"/>
                <w:szCs w:val="20"/>
              </w:rPr>
              <w:t xml:space="preserve">Emails page (table + filters + detail + tabs)</w:t>
            </w:r>
          </w:p>
        </w:tc>
        <w:tc>
          <w:tcPr>
            <w:tcW w:type="pct" w:w="30%"/>
            <w:tcMar>
              <w:top w:type="dxa" w:w="60"/>
              <w:left w:type="dxa" w:w="120"/>
              <w:bottom w:type="dxa" w:w="60"/>
              <w:right w:type="dxa" w:w="120"/>
            </w:tcMar>
          </w:tcPr>
          <w:p>
            <w:pPr>
              <w:spacing w:line="276"/>
            </w:pPr>
            <w:r>
              <w:rPr>
                <w:rFonts w:ascii="Calibri" w:eastAsia="Microsoft YaHei"/>
                <w:color w:val="182030"/>
                <w:sz w:val="20"/>
                <w:szCs w:val="20"/>
              </w:rPr>
              <w:t xml:space="preserve">app/emails/page.jsx, globals.css, app/Sidebar.jsx</w:t>
            </w:r>
          </w:p>
        </w:tc>
        <w:tc>
          <w:tcPr>
            <w:tcW w:type="pct" w:w="10%"/>
            <w:tcMar>
              <w:top w:type="dxa" w:w="60"/>
              <w:left w:type="dxa" w:w="120"/>
              <w:bottom w:type="dxa" w:w="60"/>
              <w:right w:type="dxa" w:w="120"/>
            </w:tcMar>
          </w:tcPr>
          <w:p>
            <w:pPr>
              <w:spacing w:line="276"/>
            </w:pPr>
            <w:r>
              <w:rPr>
                <w:rFonts w:ascii="Calibri" w:eastAsia="Microsoft YaHei"/>
                <w:color w:val="182030"/>
                <w:sz w:val="20"/>
                <w:szCs w:val="20"/>
              </w:rPr>
              <w:t xml:space="preserve">L</w:t>
            </w:r>
          </w:p>
        </w:tc>
        <w:tc>
          <w:tcPr>
            <w:tcW w:type="pct" w:w="20%"/>
            <w:tcMar>
              <w:top w:type="dxa" w:w="60"/>
              <w:left w:type="dxa" w:w="120"/>
              <w:bottom w:type="dxa" w:w="60"/>
              <w:right w:type="dxa" w:w="120"/>
            </w:tcMar>
          </w:tcPr>
          <w:p>
            <w:pPr>
              <w:spacing w:line="276"/>
            </w:pPr>
            <w:r>
              <w:rPr>
                <w:rFonts w:ascii="Calibri" w:eastAsia="Microsoft YaHei"/>
                <w:color w:val="182030"/>
                <w:sz w:val="20"/>
                <w:szCs w:val="20"/>
              </w:rPr>
              <w:t xml:space="preserve">3</w:t>
            </w:r>
          </w:p>
        </w:tc>
      </w:tr>
      <w:tr>
        <w:trPr>
          <w:cantSplit/>
        </w:trPr>
        <w:tc>
          <w:tcPr>
            <w:tcW w:type="pct" w:w="6%"/>
            <w:tcMar>
              <w:top w:type="dxa" w:w="60"/>
              <w:left w:type="dxa" w:w="120"/>
              <w:bottom w:type="dxa" w:w="60"/>
              <w:right w:type="dxa" w:w="120"/>
            </w:tcMar>
          </w:tcPr>
          <w:p>
            <w:pPr>
              <w:spacing w:line="276"/>
            </w:pPr>
            <w:r>
              <w:rPr>
                <w:rFonts w:ascii="Calibri" w:eastAsia="Microsoft YaHei"/>
                <w:color w:val="182030"/>
                <w:sz w:val="20"/>
                <w:szCs w:val="20"/>
              </w:rPr>
              <w:t xml:space="preserve">5</w:t>
            </w:r>
          </w:p>
        </w:tc>
        <w:tc>
          <w:tcPr>
            <w:tcW w:type="pct" w:w="34%"/>
            <w:tcMar>
              <w:top w:type="dxa" w:w="60"/>
              <w:left w:type="dxa" w:w="120"/>
              <w:bottom w:type="dxa" w:w="60"/>
              <w:right w:type="dxa" w:w="120"/>
            </w:tcMar>
          </w:tcPr>
          <w:p>
            <w:pPr>
              <w:spacing w:line="276"/>
            </w:pPr>
            <w:r>
              <w:rPr>
                <w:rFonts w:ascii="Calibri" w:eastAsia="Microsoft YaHei"/>
                <w:color w:val="182030"/>
                <w:sz w:val="20"/>
                <w:szCs w:val="20"/>
              </w:rPr>
              <w:t xml:space="preserve">Workflow v3 reports emails (after email-ok)</w:t>
            </w:r>
          </w:p>
        </w:tc>
        <w:tc>
          <w:tcPr>
            <w:tcW w:type="pct" w:w="30%"/>
            <w:tcMar>
              <w:top w:type="dxa" w:w="60"/>
              <w:left w:type="dxa" w:w="120"/>
              <w:bottom w:type="dxa" w:w="60"/>
              <w:right w:type="dxa" w:w="120"/>
            </w:tcMar>
          </w:tcPr>
          <w:p>
            <w:pPr>
              <w:spacing w:line="276"/>
            </w:pPr>
            <w:r>
              <w:rPr>
                <w:rFonts w:ascii="Calibri" w:eastAsia="Microsoft YaHei"/>
                <w:color w:val="182030"/>
                <w:sz w:val="20"/>
                <w:szCs w:val="20"/>
              </w:rPr>
              <w:t xml:space="preserve">fastn/ workflow code - see doc 02</w:t>
            </w:r>
          </w:p>
        </w:tc>
        <w:tc>
          <w:tcPr>
            <w:tcW w:type="pct" w:w="10%"/>
            <w:tcMar>
              <w:top w:type="dxa" w:w="60"/>
              <w:left w:type="dxa" w:w="120"/>
              <w:bottom w:type="dxa" w:w="60"/>
              <w:right w:type="dxa" w:w="120"/>
            </w:tcMar>
          </w:tcPr>
          <w:p>
            <w:pPr>
              <w:spacing w:line="276"/>
            </w:pPr>
            <w:r>
              <w:rPr>
                <w:rFonts w:ascii="Calibri" w:eastAsia="Microsoft YaHei"/>
                <w:color w:val="182030"/>
                <w:sz w:val="20"/>
                <w:szCs w:val="20"/>
              </w:rPr>
              <w:t xml:space="preserve">M</w:t>
            </w:r>
          </w:p>
        </w:tc>
        <w:tc>
          <w:tcPr>
            <w:tcW w:type="pct" w:w="20%"/>
            <w:tcMar>
              <w:top w:type="dxa" w:w="60"/>
              <w:left w:type="dxa" w:w="120"/>
              <w:bottom w:type="dxa" w:w="60"/>
              <w:right w:type="dxa" w:w="120"/>
            </w:tcMar>
          </w:tcPr>
          <w:p>
            <w:pPr>
              <w:spacing w:line="276"/>
            </w:pPr>
            <w:r>
              <w:rPr>
                <w:rFonts w:ascii="Calibri" w:eastAsia="Microsoft YaHei"/>
                <w:color w:val="182030"/>
                <w:sz w:val="20"/>
                <w:szCs w:val="20"/>
              </w:rPr>
              <w:t xml:space="preserve">doc 02 steps</w:t>
            </w:r>
          </w:p>
        </w:tc>
      </w:tr>
      <w:tr>
        <w:trPr>
          <w:cantSplit/>
        </w:trPr>
        <w:tc>
          <w:tcPr>
            <w:tcW w:type="pct" w:w="6%"/>
            <w:tcMar>
              <w:top w:type="dxa" w:w="60"/>
              <w:left w:type="dxa" w:w="120"/>
              <w:bottom w:type="dxa" w:w="60"/>
              <w:right w:type="dxa" w:w="120"/>
            </w:tcMar>
          </w:tcPr>
          <w:p>
            <w:pPr>
              <w:spacing w:line="276"/>
            </w:pPr>
            <w:r>
              <w:rPr>
                <w:rFonts w:ascii="Calibri" w:eastAsia="Microsoft YaHei"/>
                <w:color w:val="182030"/>
                <w:sz w:val="20"/>
                <w:szCs w:val="20"/>
              </w:rPr>
              <w:t xml:space="preserve">6</w:t>
            </w:r>
          </w:p>
        </w:tc>
        <w:tc>
          <w:tcPr>
            <w:tcW w:type="pct" w:w="34%"/>
            <w:tcMar>
              <w:top w:type="dxa" w:w="60"/>
              <w:left w:type="dxa" w:w="120"/>
              <w:bottom w:type="dxa" w:w="60"/>
              <w:right w:type="dxa" w:w="120"/>
            </w:tcMar>
          </w:tcPr>
          <w:p>
            <w:pPr>
              <w:spacing w:line="276"/>
            </w:pPr>
            <w:r>
              <w:rPr>
                <w:rFonts w:ascii="Calibri" w:eastAsia="Microsoft YaHei"/>
                <w:color w:val="182030"/>
                <w:sz w:val="20"/>
                <w:szCs w:val="20"/>
              </w:rPr>
              <w:t xml:space="preserve">Assistant tool-call cards + stop button</w:t>
            </w:r>
          </w:p>
        </w:tc>
        <w:tc>
          <w:tcPr>
            <w:tcW w:type="pct" w:w="30%"/>
            <w:tcMar>
              <w:top w:type="dxa" w:w="60"/>
              <w:left w:type="dxa" w:w="120"/>
              <w:bottom w:type="dxa" w:w="60"/>
              <w:right w:type="dxa" w:w="120"/>
            </w:tcMar>
          </w:tcPr>
          <w:p>
            <w:pPr>
              <w:spacing w:line="276"/>
            </w:pPr>
            <w:r>
              <w:rPr>
                <w:rFonts w:ascii="Calibri" w:eastAsia="Microsoft YaHei"/>
                <w:color w:val="182030"/>
                <w:sz w:val="20"/>
                <w:szCs w:val="20"/>
              </w:rPr>
              <w:t xml:space="preserve">components/AssistantPanel.jsx, globals.css</w:t>
            </w:r>
          </w:p>
        </w:tc>
        <w:tc>
          <w:tcPr>
            <w:tcW w:type="pct" w:w="10%"/>
            <w:tcMar>
              <w:top w:type="dxa" w:w="60"/>
              <w:left w:type="dxa" w:w="120"/>
              <w:bottom w:type="dxa" w:w="60"/>
              <w:right w:type="dxa" w:w="120"/>
            </w:tcMar>
          </w:tcPr>
          <w:p>
            <w:pPr>
              <w:spacing w:line="276"/>
            </w:pPr>
            <w:r>
              <w:rPr>
                <w:rFonts w:ascii="Calibri" w:eastAsia="Microsoft YaHei"/>
                <w:color w:val="182030"/>
                <w:sz w:val="20"/>
                <w:szCs w:val="20"/>
              </w:rPr>
              <w:t xml:space="preserve">M</w:t>
            </w:r>
          </w:p>
        </w:tc>
        <w:tc>
          <w:tcPr>
            <w:tcW w:type="pct" w:w="20%"/>
            <w:tcMar>
              <w:top w:type="dxa" w:w="60"/>
              <w:left w:type="dxa" w:w="120"/>
              <w:bottom w:type="dxa" w:w="60"/>
              <w:right w:type="dxa" w:w="120"/>
            </w:tcMar>
          </w:tcPr>
          <w:p>
            <w:pPr>
              <w:spacing w:line="276"/>
            </w:pPr>
            <w:r>
              <w:rPr>
                <w:rFonts w:ascii="Calibri" w:eastAsia="Microsoft YaHei"/>
                <w:color w:val="182030"/>
                <w:sz w:val="20"/>
                <w:szCs w:val="20"/>
              </w:rPr>
              <w:t xml:space="preserve">-</w:t>
            </w:r>
          </w:p>
        </w:tc>
      </w:tr>
      <w:tr>
        <w:trPr>
          <w:cantSplit/>
        </w:trPr>
        <w:tc>
          <w:tcPr>
            <w:tcW w:type="pct" w:w="6%"/>
            <w:tcMar>
              <w:top w:type="dxa" w:w="60"/>
              <w:left w:type="dxa" w:w="120"/>
              <w:bottom w:type="dxa" w:w="60"/>
              <w:right w:type="dxa" w:w="120"/>
            </w:tcMar>
          </w:tcPr>
          <w:p>
            <w:pPr>
              <w:spacing w:line="276"/>
            </w:pPr>
            <w:r>
              <w:rPr>
                <w:rFonts w:ascii="Calibri" w:eastAsia="Microsoft YaHei"/>
                <w:color w:val="182030"/>
                <w:sz w:val="20"/>
                <w:szCs w:val="20"/>
              </w:rPr>
              <w:t xml:space="preserve">7</w:t>
            </w:r>
          </w:p>
        </w:tc>
        <w:tc>
          <w:tcPr>
            <w:tcW w:type="pct" w:w="34%"/>
            <w:tcMar>
              <w:top w:type="dxa" w:w="60"/>
              <w:left w:type="dxa" w:w="120"/>
              <w:bottom w:type="dxa" w:w="60"/>
              <w:right w:type="dxa" w:w="120"/>
            </w:tcMar>
          </w:tcPr>
          <w:p>
            <w:pPr>
              <w:spacing w:line="276"/>
            </w:pPr>
            <w:r>
              <w:rPr>
                <w:rFonts w:ascii="Calibri" w:eastAsia="Microsoft YaHei"/>
                <w:color w:val="182030"/>
                <w:sz w:val="20"/>
                <w:szCs w:val="20"/>
              </w:rPr>
              <w:t xml:space="preserve">Dashboard copy + status footer counter</w:t>
            </w:r>
          </w:p>
        </w:tc>
        <w:tc>
          <w:tcPr>
            <w:tcW w:type="pct" w:w="30%"/>
            <w:tcMar>
              <w:top w:type="dxa" w:w="60"/>
              <w:left w:type="dxa" w:w="120"/>
              <w:bottom w:type="dxa" w:w="60"/>
              <w:right w:type="dxa" w:w="120"/>
            </w:tcMar>
          </w:tcPr>
          <w:p>
            <w:pPr>
              <w:spacing w:line="276"/>
            </w:pPr>
            <w:r>
              <w:rPr>
                <w:rFonts w:ascii="Calibri" w:eastAsia="Microsoft YaHei"/>
                <w:color w:val="182030"/>
                <w:sz w:val="20"/>
                <w:szCs w:val="20"/>
              </w:rPr>
              <w:t xml:space="preserve">app/page.jsx</w:t>
            </w:r>
          </w:p>
        </w:tc>
        <w:tc>
          <w:tcPr>
            <w:tcW w:type="pct" w:w="10%"/>
            <w:tcMar>
              <w:top w:type="dxa" w:w="60"/>
              <w:left w:type="dxa" w:w="120"/>
              <w:bottom w:type="dxa" w:w="60"/>
              <w:right w:type="dxa" w:w="120"/>
            </w:tcMar>
          </w:tcPr>
          <w:p>
            <w:pPr>
              <w:spacing w:line="276"/>
            </w:pPr>
            <w:r>
              <w:rPr>
                <w:rFonts w:ascii="Calibri" w:eastAsia="Microsoft YaHei"/>
                <w:color w:val="182030"/>
                <w:sz w:val="20"/>
                <w:szCs w:val="20"/>
              </w:rPr>
              <w:t xml:space="preserve">XS</w:t>
            </w:r>
          </w:p>
        </w:tc>
        <w:tc>
          <w:tcPr>
            <w:tcW w:type="pct" w:w="20%"/>
            <w:tcMar>
              <w:top w:type="dxa" w:w="60"/>
              <w:left w:type="dxa" w:w="120"/>
              <w:bottom w:type="dxa" w:w="60"/>
              <w:right w:type="dxa" w:w="120"/>
            </w:tcMar>
          </w:tcPr>
          <w:p>
            <w:pPr>
              <w:spacing w:line="276"/>
            </w:pPr>
            <w:r>
              <w:rPr>
                <w:rFonts w:ascii="Calibri" w:eastAsia="Microsoft YaHei"/>
                <w:color w:val="182030"/>
                <w:sz w:val="20"/>
                <w:szCs w:val="20"/>
              </w:rPr>
              <w:t xml:space="preserve">3</w:t>
            </w:r>
          </w:p>
        </w:tc>
      </w:tr>
      <w:tr>
        <w:trPr>
          <w:cantSplit/>
        </w:trPr>
        <w:tc>
          <w:tcPr>
            <w:tcW w:type="pct" w:w="6%"/>
            <w:tcMar>
              <w:top w:type="dxa" w:w="60"/>
              <w:left w:type="dxa" w:w="120"/>
              <w:bottom w:type="dxa" w:w="60"/>
              <w:right w:type="dxa" w:w="120"/>
            </w:tcMar>
          </w:tcPr>
          <w:p>
            <w:pPr>
              <w:spacing w:line="276"/>
            </w:pPr>
            <w:r>
              <w:rPr>
                <w:rFonts w:ascii="Calibri" w:eastAsia="Microsoft YaHei"/>
                <w:color w:val="182030"/>
                <w:sz w:val="20"/>
                <w:szCs w:val="20"/>
              </w:rPr>
              <w:t xml:space="preserve">8</w:t>
            </w:r>
          </w:p>
        </w:tc>
        <w:tc>
          <w:tcPr>
            <w:tcW w:type="pct" w:w="34%"/>
            <w:tcMar>
              <w:top w:type="dxa" w:w="60"/>
              <w:left w:type="dxa" w:w="120"/>
              <w:bottom w:type="dxa" w:w="60"/>
              <w:right w:type="dxa" w:w="120"/>
            </w:tcMar>
          </w:tcPr>
          <w:p>
            <w:pPr>
              <w:spacing w:line="276"/>
            </w:pPr>
            <w:r>
              <w:rPr>
                <w:rFonts w:ascii="Calibri" w:eastAsia="Microsoft YaHei"/>
                <w:color w:val="182030"/>
                <w:sz w:val="20"/>
                <w:szCs w:val="20"/>
              </w:rPr>
              <w:t xml:space="preserve">Build, verify all pages in browser, commit, push</w:t>
            </w:r>
          </w:p>
        </w:tc>
        <w:tc>
          <w:tcPr>
            <w:tcW w:type="pct" w:w="30%"/>
            <w:tcMar>
              <w:top w:type="dxa" w:w="60"/>
              <w:left w:type="dxa" w:w="120"/>
              <w:bottom w:type="dxa" w:w="60"/>
              <w:right w:type="dxa" w:w="120"/>
            </w:tcMar>
          </w:tcPr>
          <w:p>
            <w:pPr>
              <w:spacing w:line="276"/>
            </w:pPr>
            <w:r>
              <w:rPr>
                <w:rFonts w:ascii="Calibri" w:eastAsia="Microsoft YaHei"/>
                <w:color w:val="182030"/>
                <w:sz w:val="20"/>
                <w:szCs w:val="20"/>
              </w:rPr>
              <w:t xml:space="preserve">-</w:t>
            </w:r>
          </w:p>
        </w:tc>
        <w:tc>
          <w:tcPr>
            <w:tcW w:type="pct" w:w="10%"/>
            <w:tcMar>
              <w:top w:type="dxa" w:w="60"/>
              <w:left w:type="dxa" w:w="120"/>
              <w:bottom w:type="dxa" w:w="60"/>
              <w:right w:type="dxa" w:w="120"/>
            </w:tcMar>
          </w:tcPr>
          <w:p>
            <w:pPr>
              <w:spacing w:line="276"/>
            </w:pPr>
            <w:r>
              <w:rPr>
                <w:rFonts w:ascii="Calibri" w:eastAsia="Microsoft YaHei"/>
                <w:color w:val="182030"/>
                <w:sz w:val="20"/>
                <w:szCs w:val="20"/>
              </w:rPr>
              <w:t xml:space="preserve">S</w:t>
            </w:r>
          </w:p>
        </w:tc>
        <w:tc>
          <w:tcPr>
            <w:tcW w:type="pct" w:w="20%"/>
            <w:tcMar>
              <w:top w:type="dxa" w:w="60"/>
              <w:left w:type="dxa" w:w="120"/>
              <w:bottom w:type="dxa" w:w="60"/>
              <w:right w:type="dxa" w:w="120"/>
            </w:tcMar>
          </w:tcPr>
          <w:p>
            <w:pPr>
              <w:spacing w:line="276"/>
            </w:pPr>
            <w:r>
              <w:rPr>
                <w:rFonts w:ascii="Calibri" w:eastAsia="Microsoft YaHei"/>
                <w:color w:val="182030"/>
                <w:sz w:val="20"/>
                <w:szCs w:val="20"/>
              </w:rPr>
              <w:t xml:space="preserve">all</w:t>
            </w:r>
          </w:p>
        </w:tc>
      </w:tr>
    </w:tbl>
    <w:p>
      <w:pPr>
        <w:spacing w:after="100" w:line="312"/>
        <w:jc w:val="both"/>
      </w:pPr>
      <w:r>
        <w:rPr>
          <w:rFonts w:ascii="Calibri" w:eastAsia="Microsoft YaHei"/>
          <w:b w:val="false"/>
          <w:bCs w:val="false"/>
          <w:i w:val="false"/>
          <w:iCs w:val="false"/>
          <w:color w:val="182030"/>
          <w:sz w:val="22"/>
          <w:szCs w:val="22"/>
        </w:rPr>
        <w:t xml:space="preserve">Recommended order: 1 -&gt; 2 -&gt; 6 (pure frontend, safe) then 3 -&gt; 4, and 5 last (needs the Gmail OAuth connection; until then the Emails page runs on seeded demo records so it never looks empty).</w:t>
      </w:r>
    </w:p>
    <w:p>
      <w:pPr>
        <w:pStyle w:val="Heading1"/>
        <w:spacing w:after="140" w:before="360" w:line="312"/>
      </w:pPr>
      <w:r>
        <w:rPr>
          <w:rFonts w:ascii="Calibri" w:eastAsia="Microsoft YaHei"/>
          <w:b/>
          <w:bCs/>
          <w:color w:val="1A2330"/>
          <w:sz w:val="30"/>
          <w:szCs w:val="30"/>
        </w:rPr>
        <w:t xml:space="preserve">6. Acceptance Criteria (whole pass)</w:t>
      </w:r>
    </w:p>
    <w:p>
      <w:pPr>
        <w:pStyle w:val="ListParagraph"/>
        <w:numPr>
          <w:ilvl w:val="0"/>
          <w:numId w:val="1"/>
        </w:numPr>
        <w:spacing w:after="60" w:line="312"/>
      </w:pPr>
      <w:r>
        <w:rPr>
          <w:rFonts w:ascii="Calibri" w:eastAsia="Microsoft YaHei"/>
          <w:b w:val="false"/>
          <w:bCs w:val="false"/>
          <w:color w:val="182030"/>
          <w:sz w:val="22"/>
          <w:szCs w:val="22"/>
        </w:rPr>
        <w:t xml:space="preserve">Every page at 1440px and 900px wide: no clipped content, no wrapped table rows, sidebar highlight correct on all four items.</w:t>
      </w:r>
    </w:p>
    <w:p>
      <w:pPr>
        <w:pStyle w:val="ListParagraph"/>
        <w:numPr>
          <w:ilvl w:val="0"/>
          <w:numId w:val="1"/>
        </w:numPr>
        <w:spacing w:after="60" w:line="312"/>
      </w:pPr>
      <w:r>
        <w:rPr>
          <w:rFonts w:ascii="Calibri" w:eastAsia="Microsoft YaHei"/>
          <w:b w:val="false"/>
          <w:bCs w:val="false"/>
          <w:color w:val="182030"/>
          <w:sz w:val="22"/>
          <w:szCs w:val="22"/>
        </w:rPr>
        <w:t xml:space="preserve">Integrations shows real brand logos, equal grid, Gmail card present.</w:t>
      </w:r>
    </w:p>
    <w:p>
      <w:pPr>
        <w:pStyle w:val="ListParagraph"/>
        <w:numPr>
          <w:ilvl w:val="0"/>
          <w:numId w:val="1"/>
        </w:numPr>
        <w:spacing w:after="60" w:line="312"/>
      </w:pPr>
      <w:r>
        <w:rPr>
          <w:rFonts w:ascii="Calibri" w:eastAsia="Microsoft YaHei"/>
          <w:b w:val="false"/>
          <w:bCs w:val="false"/>
          <w:color w:val="182030"/>
          <w:sz w:val="22"/>
          <w:szCs w:val="22"/>
        </w:rPr>
        <w:t xml:space="preserve">Emails page: filters work, detail tabs work, stepper shows Sent-&gt;Delivered, empty state before any send.</w:t>
      </w:r>
    </w:p>
    <w:p>
      <w:pPr>
        <w:pStyle w:val="ListParagraph"/>
        <w:numPr>
          <w:ilvl w:val="0"/>
          <w:numId w:val="1"/>
        </w:numPr>
        <w:spacing w:after="60" w:line="312"/>
      </w:pPr>
      <w:r>
        <w:rPr>
          <w:rFonts w:ascii="Calibri" w:eastAsia="Microsoft YaHei"/>
          <w:b w:val="false"/>
          <w:bCs w:val="false"/>
          <w:color w:val="182030"/>
          <w:sz w:val="22"/>
          <w:szCs w:val="22"/>
        </w:rPr>
        <w:t xml:space="preserve">Assistant: acknowledge action renders an Approved tool card; Stop button aborts mid-answer.</w:t>
      </w:r>
    </w:p>
    <w:p>
      <w:pPr>
        <w:pStyle w:val="ListParagraph"/>
        <w:numPr>
          <w:ilvl w:val="0"/>
          <w:numId w:val="1"/>
        </w:numPr>
        <w:spacing w:after="60" w:line="312"/>
      </w:pPr>
      <w:r>
        <w:rPr>
          <w:rFonts w:ascii="Calibri" w:eastAsia="Microsoft YaHei"/>
          <w:b w:val="false"/>
          <w:bCs w:val="false"/>
          <w:color w:val="182030"/>
          <w:sz w:val="22"/>
          <w:szCs w:val="22"/>
        </w:rPr>
        <w:t xml:space="preserve">npm run build green; git push; Vercel deploy succeeds; no console errors on any page.</w:t>
      </w:r>
    </w:p>
    <w:sectPr>
      <w:headerReference w:type="default" r:id="rId7"/>
      <w:footerReference w:type="default" r:id="rId8"/>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9AA6B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0C8" w:sz="2" w:space="4"/>
      </w:pBdr>
      <w:jc w:val="right"/>
    </w:pPr>
    <w:r>
      <w:rPr>
        <w:rFonts w:ascii="Calibri" w:eastAsia="Microsoft YaHei"/>
        <w:color w:val="9AA6B2"/>
        <w:sz w:val="16"/>
        <w:szCs w:val="16"/>
      </w:rPr>
      <w:t xml:space="preserve">PulseGuard Handoff - 1. UI Redesign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8203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60" w:line="312"/>
    </w:pPr>
    <w:rPr>
      <w:rFonts w:ascii="Calibri" w:eastAsia="Microsoft YaHei"/>
      <w:b/>
      <w:bCs/>
      <w:color w:val="1A2330"/>
      <w:sz w:val="30"/>
      <w:szCs w:val="30"/>
    </w:rPr>
  </w:style>
  <w:style w:type="paragraph" w:styleId="Heading2">
    <w:name w:val="Heading 2"/>
    <w:basedOn w:val="Normal"/>
    <w:next w:val="Normal"/>
    <w:qFormat/>
    <w:pPr>
      <w:spacing w:after="110" w:before="240" w:line="312"/>
    </w:pPr>
    <w:rPr>
      <w:rFonts w:ascii="Calibri" w:eastAsia="Microsoft YaHei"/>
      <w:b/>
      <w:bCs/>
      <w:color w:val="1A233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2026-09-20T01:11:13.575Z</dcterms:created>
  <dcterms:modified xsi:type="dcterms:W3CDTF">2026-09-20T01:11:13.585Z</dcterms:modified>
</cp:coreProperties>
</file>

<file path=docProps/custom.xml><?xml version="1.0" encoding="utf-8"?>
<Properties xmlns="http://schemas.openxmlformats.org/officeDocument/2006/custom-properties" xmlns:vt="http://schemas.openxmlformats.org/officeDocument/2006/docPropsVTypes"/>
</file>