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1A2330"/>
                  <w:tcMar>
                    <w:left w:type="dxa" w:w="1200"/>
                    <w:right w:type="dxa" w:w="800"/>
                  </w:tcMar>
                  <w:vAlign w:val="top"/>
                </w:tcPr>
                <w:p>
                  <w:pPr>
                    <w:spacing w:before="3089"/>
                  </w:pPr>
                </w:p>
                <w:p>
                  <w:pPr>
                    <w:spacing w:after="500"/>
                  </w:pPr>
                  <w:r>
                    <w:rPr>
                      <w:rFonts w:ascii="Calibri"/>
                      <w:color w:val="D4875A"/>
                      <w:spacing w:val="60"/>
                      <w:sz w:val="18"/>
                      <w:szCs w:val="18"/>
                    </w:rPr>
                    <w:t xml:space="preserve">P U L S E G U A R D   H A N D O F F   P A C K   -   D O C U M E N T   2   O F   4</w:t>
                  </w:r>
                </w:p>
                <w:p>
                  <w:pPr>
                    <w:spacing w:after="100" w:line="874" w:lineRule="atLeast"/>
                  </w:pPr>
                  <w:r>
                    <w:rPr>
                      <w:rFonts w:ascii="Arial" w:eastAsia="SimHei"/>
                      <w:b/>
                      <w:bCs/>
                      <w:color w:val="FFFFFF"/>
                      <w:sz w:val="76"/>
                      <w:szCs w:val="76"/>
                    </w:rPr>
                    <w:t xml:space="preserve">Gmail Email</w:t>
                  </w:r>
                </w:p>
                <w:p>
                  <w:pPr>
                    <w:spacing w:after="200" w:line="874" w:lineRule="atLeast"/>
                  </w:pPr>
                  <w:r>
                    <w:rPr>
                      <w:rFonts w:ascii="Arial" w:eastAsia="SimHei"/>
                      <w:b/>
                      <w:bCs/>
                      <w:color w:val="FFFFFF"/>
                      <w:sz w:val="76"/>
                      <w:szCs w:val="76"/>
                    </w:rPr>
                    <w:t xml:space="preserve">Channel</w:t>
                  </w:r>
                </w:p>
                <w:p>
                  <w:pPr>
                    <w:spacing w:after="100"/>
                  </w:pPr>
                  <w:r>
                    <w:rPr>
                      <w:rFonts w:ascii="Arial" w:eastAsia="Microsoft YaHei"/>
                      <w:color w:val="B0B8C0"/>
                      <w:sz w:val="24"/>
                      <w:szCs w:val="24"/>
                    </w:rPr>
                    <w:t xml:space="preserve">Verified connector facts, OAuth step, workflow v3 diff, deploy rules, fallback ladder</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D4875A"/>
                </w:tcPr>
                <w:p/>
              </w:tc>
            </w:tr>
          </w:tbl>
          <w:p>
            <w:pPr>
              <w:spacing w:before="800"/>
            </w:pPr>
          </w:p>
          <w:p>
            <w:pPr>
              <w:spacing w:after="100"/>
              <w:ind w:left="1200"/>
            </w:pPr>
            <w:r>
              <w:rPr>
                <w:rFonts w:ascii="Arial" w:eastAsia="Microsoft YaHei"/>
                <w:color w:val="90989F"/>
                <w:sz w:val="26"/>
                <w:szCs w:val="26"/>
              </w:rPr>
              <w:t xml:space="preserve">Project: PulseGuard - Build With Fastn Hackathon</w:t>
            </w:r>
          </w:p>
          <w:p>
            <w:pPr>
              <w:spacing w:after="100"/>
              <w:ind w:left="1200"/>
            </w:pPr>
            <w:r>
              <w:rPr>
                <w:rFonts w:ascii="Arial" w:eastAsia="Microsoft YaHei"/>
                <w:color w:val="90989F"/>
                <w:sz w:val="26"/>
                <w:szCs w:val="26"/>
              </w:rPr>
              <w:t xml:space="preserve">Gmail connector: ec3c1b4a-e281-4c5e-9a6b-90eb4a59882f (verified)</w:t>
            </w:r>
          </w:p>
          <w:p>
            <w:pPr>
              <w:spacing w:after="100"/>
              <w:ind w:left="1200"/>
            </w:pPr>
            <w:r>
              <w:rPr>
                <w:rFonts w:ascii="Arial" w:eastAsia="Microsoft YaHei"/>
                <w:color w:val="90989F"/>
                <w:sz w:val="26"/>
                <w:szCs w:val="26"/>
              </w:rPr>
              <w:t xml:space="preserve">Send method: Send Message (googleGmail)</w:t>
            </w:r>
          </w:p>
          <w:p>
            <w:pPr>
              <w:spacing w:after="100"/>
              <w:ind w:left="1200"/>
            </w:pPr>
            <w:r>
              <w:rPr>
                <w:rFonts w:ascii="Arial" w:eastAsia="Microsoft YaHei"/>
                <w:color w:val="90989F"/>
                <w:sz w:val="26"/>
                <w:szCs w:val="26"/>
              </w:rPr>
              <w:t xml:space="preserve">Companion docs: 01-UI, 03-State, 04-Video</w:t>
            </w:r>
          </w:p>
          <w:p>
            <w:pPr>
              <w:spacing w:before="2000"/>
            </w:pPr>
          </w:p>
          <w:p>
            <w:pPr>
              <w:ind w:left="1200"/>
            </w:pPr>
            <w:r>
              <w:rPr>
                <w:color w:val="909090"/>
                <w:sz w:val="22"/>
                <w:szCs w:val="22"/>
              </w:rPr>
              <w:t xml:space="preserve">PulseGuard on Fastn</w:t>
            </w:r>
            <w:r>
              <w:t xml:space="preserve">          </w:t>
            </w:r>
            <w:r>
              <w:rPr>
                <w:color w:val="909090"/>
                <w:sz w:val="22"/>
                <w:szCs w:val="22"/>
              </w:rPr>
              <w:t xml:space="preserve">Doc 2 / 4</w:t>
            </w:r>
          </w:p>
        </w:tc>
      </w:tr>
    </w:tbl>
    <w:p>
      <w:pPr>
        <w:sectPr>
          <w:pgSz w:w="11906" w:h="16838" w:orient="portrait"/>
          <w:pgMar w:top="0" w:right="0" w:bottom="0" w:left="0" w:header="708" w:footer="708" w:gutter="0"/>
          <w:pgNumType/>
          <w:docGrid w:linePitch="360"/>
        </w:sectPr>
      </w:pPr>
    </w:p>
    <w:p>
      <w:pPr>
        <w:pStyle w:val="Heading1"/>
        <w:spacing w:after="140" w:before="360" w:line="312"/>
      </w:pPr>
      <w:r>
        <w:rPr>
          <w:rFonts w:ascii="Calibri" w:eastAsia="Microsoft YaHei"/>
          <w:b/>
          <w:bCs/>
          <w:color w:val="1A2330"/>
          <w:sz w:val="30"/>
          <w:szCs w:val="30"/>
        </w:rPr>
        <w:t xml:space="preserve">1. What This Channel Adds</w:t>
      </w:r>
    </w:p>
    <w:p>
      <w:pPr>
        <w:spacing w:after="100" w:line="312"/>
        <w:jc w:val="both"/>
      </w:pPr>
      <w:r>
        <w:rPr>
          <w:rFonts w:ascii="Calibri" w:eastAsia="Microsoft YaHei"/>
          <w:b w:val="false"/>
          <w:bCs w:val="false"/>
          <w:i w:val="false"/>
          <w:iCs w:val="false"/>
          <w:color w:val="182030"/>
          <w:sz w:val="22"/>
          <w:szCs w:val="22"/>
        </w:rPr>
        <w:t xml:space="preserve">Today the risk engine (wf_fe925b124168, pulseguard-risk-engine-v2) already: dedupes, enriches from HubSpot, writes a CRM note, and posts a Slack card. This feature adds a third action - an email via the Google Gmail connector to the account manager (ownerEmail from HubSpot enrichment; fallback cfg.notifyEmail; last resort the builder's Gmail). The email contains the diagnosis and an Acknowledge button that links to the existing /api/ack endpoint (already renders a confirmation page for link clicks). Failure is isolated: email-fail never blocks Slack or the CRM note.</w:t>
      </w:r>
    </w:p>
    <w:p>
      <w:pPr>
        <w:spacing w:after="100" w:line="312"/>
        <w:jc w:val="both"/>
      </w:pPr>
      <w:r>
        <w:rPr>
          <w:rFonts w:ascii="Calibri" w:eastAsia="Microsoft YaHei"/>
          <w:b/>
          <w:bCs/>
          <w:i w:val="false"/>
          <w:iCs w:val="false"/>
          <w:color w:val="182030"/>
          <w:sz w:val="22"/>
          <w:szCs w:val="22"/>
        </w:rPr>
        <w:t xml:space="preserve">Status as of writing: </w:t>
      </w:r>
      <w:r>
        <w:rPr>
          <w:rFonts w:ascii="Calibri" w:eastAsia="Microsoft YaHei"/>
          <w:b w:val="false"/>
          <w:bCs w:val="false"/>
          <w:i w:val="false"/>
          <w:iCs w:val="false"/>
          <w:color w:val="182030"/>
          <w:sz w:val="22"/>
          <w:szCs w:val="22"/>
        </w:rPr>
        <w:t xml:space="preserve">connector discovery is DONE and verified (Section 2). The only remaining human step is one Google OAuth approval (Section 3). Everything after that is scripted.</w:t>
      </w:r>
    </w:p>
    <w:p>
      <w:pPr>
        <w:pStyle w:val="Heading1"/>
        <w:spacing w:after="140" w:before="360" w:line="312"/>
      </w:pPr>
      <w:r>
        <w:rPr>
          <w:rFonts w:ascii="Calibri" w:eastAsia="Microsoft YaHei"/>
          <w:b/>
          <w:bCs/>
          <w:color w:val="1A2330"/>
          <w:sz w:val="30"/>
          <w:szCs w:val="30"/>
        </w:rPr>
        <w:t xml:space="preserve">2. Verified Facts (discovered 2026-09-20 via MCP)</w:t>
      </w:r>
    </w:p>
    <w:p>
      <w:pPr>
        <w:keepNext/>
        <w:spacing w:after="80" w:before="160" w:line="312"/>
      </w:pPr>
      <w:r>
        <w:rPr>
          <w:rFonts w:ascii="Calibri" w:eastAsia="Microsoft YaHei"/>
          <w:b/>
          <w:bCs/>
          <w:color w:val="506070"/>
          <w:sz w:val="21"/>
          <w:szCs w:val="21"/>
        </w:rPr>
        <w:t xml:space="preserve">Table 2.1 - Gmail connector facts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Pr>
      <w:tblGrid>
        <w:gridCol w:w="100"/>
        <w:gridCol w:w="100"/>
      </w:tblGrid>
      <w:tr>
        <w:trPr>
          <w:cantSplit/>
          <w:tblHeader/>
        </w:trPr>
        <w:tc>
          <w:tcPr>
            <w:tcW w:type="pct" w:w="34%"/>
            <w:shd w:fill="D4875A" w:val="clear"/>
            <w:tcMar>
              <w:top w:type="dxa" w:w="70"/>
              <w:left w:type="dxa" w:w="120"/>
              <w:bottom w:type="dxa" w:w="70"/>
              <w:right w:type="dxa" w:w="120"/>
            </w:tcMar>
          </w:tcPr>
          <w:p>
            <w:pPr>
              <w:spacing w:line="276"/>
            </w:pPr>
            <w:r>
              <w:rPr>
                <w:rFonts w:ascii="Calibri" w:eastAsia="Microsoft YaHei"/>
                <w:b/>
                <w:bCs/>
                <w:color w:val="FFFFFF"/>
                <w:sz w:val="20"/>
                <w:szCs w:val="20"/>
              </w:rPr>
              <w:t xml:space="preserve">Item</w:t>
            </w:r>
          </w:p>
        </w:tc>
        <w:tc>
          <w:tcPr>
            <w:tcW w:type="pct" w:w="66%"/>
            <w:shd w:fill="D4875A" w:val="clear"/>
            <w:tcMar>
              <w:top w:type="dxa" w:w="70"/>
              <w:left w:type="dxa" w:w="120"/>
              <w:bottom w:type="dxa" w:w="70"/>
              <w:right w:type="dxa" w:w="120"/>
            </w:tcMar>
          </w:tcPr>
          <w:p>
            <w:pPr>
              <w:spacing w:line="276"/>
            </w:pPr>
            <w:r>
              <w:rPr>
                <w:rFonts w:ascii="Calibri" w:eastAsia="Microsoft YaHei"/>
                <w:b/>
                <w:bCs/>
                <w:color w:val="FFFFFF"/>
                <w:sz w:val="20"/>
                <w:szCs w:val="20"/>
              </w:rPr>
              <w:t xml:space="preserve">Value</w:t>
            </w:r>
          </w:p>
        </w:tc>
      </w:tr>
      <w:tr>
        <w:trPr>
          <w:cantSplit/>
        </w:trPr>
        <w:tc>
          <w:tcPr>
            <w:tcW w:type="pct" w:w="34%"/>
            <w:tcMar>
              <w:top w:type="dxa" w:w="60"/>
              <w:left w:type="dxa" w:w="120"/>
              <w:bottom w:type="dxa" w:w="60"/>
              <w:right w:type="dxa" w:w="120"/>
            </w:tcMar>
          </w:tcPr>
          <w:p>
            <w:pPr>
              <w:spacing w:line="276"/>
            </w:pPr>
            <w:r>
              <w:rPr>
                <w:rFonts w:ascii="Calibri" w:eastAsia="Microsoft YaHei"/>
                <w:color w:val="182030"/>
                <w:sz w:val="20"/>
                <w:szCs w:val="20"/>
              </w:rPr>
              <w:t xml:space="preserve">Connector name / slug</w:t>
            </w:r>
          </w:p>
        </w:tc>
        <w:tc>
          <w:tcPr>
            <w:tcW w:type="pct" w:w="66%"/>
            <w:tcMar>
              <w:top w:type="dxa" w:w="60"/>
              <w:left w:type="dxa" w:w="120"/>
              <w:bottom w:type="dxa" w:w="60"/>
              <w:right w:type="dxa" w:w="120"/>
            </w:tcMar>
          </w:tcPr>
          <w:p>
            <w:pPr>
              <w:spacing w:line="276"/>
            </w:pPr>
            <w:r>
              <w:rPr>
                <w:rFonts w:ascii="Calibri" w:eastAsia="Microsoft YaHei"/>
                <w:color w:val="182030"/>
                <w:sz w:val="20"/>
                <w:szCs w:val="20"/>
              </w:rPr>
              <w:t xml:space="preserve">Google Gmail / googleGmail</w:t>
            </w:r>
          </w:p>
        </w:tc>
      </w:tr>
      <w:tr>
        <w:trPr>
          <w:cantSplit/>
        </w:trPr>
        <w:tc>
          <w:tcPr>
            <w:tcW w:type="pct" w:w="34%"/>
            <w:tcMar>
              <w:top w:type="dxa" w:w="60"/>
              <w:left w:type="dxa" w:w="120"/>
              <w:bottom w:type="dxa" w:w="60"/>
              <w:right w:type="dxa" w:w="120"/>
            </w:tcMar>
          </w:tcPr>
          <w:p>
            <w:pPr>
              <w:spacing w:line="276"/>
            </w:pPr>
            <w:r>
              <w:rPr>
                <w:rFonts w:ascii="Calibri" w:eastAsia="Microsoft YaHei"/>
                <w:color w:val="182030"/>
                <w:sz w:val="20"/>
                <w:szCs w:val="20"/>
              </w:rPr>
              <w:t xml:space="preserve">Connector ID</w:t>
            </w:r>
          </w:p>
        </w:tc>
        <w:tc>
          <w:tcPr>
            <w:tcW w:type="pct" w:w="66%"/>
            <w:tcMar>
              <w:top w:type="dxa" w:w="60"/>
              <w:left w:type="dxa" w:w="120"/>
              <w:bottom w:type="dxa" w:w="60"/>
              <w:right w:type="dxa" w:w="120"/>
            </w:tcMar>
          </w:tcPr>
          <w:p>
            <w:pPr>
              <w:spacing w:line="276"/>
            </w:pPr>
            <w:r>
              <w:rPr>
                <w:rFonts w:ascii="Calibri" w:eastAsia="Microsoft YaHei"/>
                <w:color w:val="182030"/>
                <w:sz w:val="20"/>
                <w:szCs w:val="20"/>
              </w:rPr>
              <w:t xml:space="preserve">ec3c1b4a-e281-4c5e-9a6b-90eb4a59882f</w:t>
            </w:r>
          </w:p>
        </w:tc>
      </w:tr>
      <w:tr>
        <w:trPr>
          <w:cantSplit/>
        </w:trPr>
        <w:tc>
          <w:tcPr>
            <w:tcW w:type="pct" w:w="34%"/>
            <w:tcMar>
              <w:top w:type="dxa" w:w="60"/>
              <w:left w:type="dxa" w:w="120"/>
              <w:bottom w:type="dxa" w:w="60"/>
              <w:right w:type="dxa" w:w="120"/>
            </w:tcMar>
          </w:tcPr>
          <w:p>
            <w:pPr>
              <w:spacing w:line="276"/>
            </w:pPr>
            <w:r>
              <w:rPr>
                <w:rFonts w:ascii="Calibri" w:eastAsia="Microsoft YaHei"/>
                <w:color w:val="182030"/>
                <w:sz w:val="20"/>
                <w:szCs w:val="20"/>
              </w:rPr>
              <w:t xml:space="preserve">Auth method ID</w:t>
            </w:r>
          </w:p>
        </w:tc>
        <w:tc>
          <w:tcPr>
            <w:tcW w:type="pct" w:w="66%"/>
            <w:tcMar>
              <w:top w:type="dxa" w:w="60"/>
              <w:left w:type="dxa" w:w="120"/>
              <w:bottom w:type="dxa" w:w="60"/>
              <w:right w:type="dxa" w:w="120"/>
            </w:tcMar>
          </w:tcPr>
          <w:p>
            <w:pPr>
              <w:spacing w:line="276"/>
            </w:pPr>
            <w:r>
              <w:rPr>
                <w:rFonts w:ascii="Calibri" w:eastAsia="Microsoft YaHei"/>
                <w:color w:val="182030"/>
                <w:sz w:val="20"/>
                <w:szCs w:val="20"/>
              </w:rPr>
              <w:t xml:space="preserve">5e2cd543-bb00-47a8-a16f-aeb42743b1fe</w:t>
            </w:r>
          </w:p>
        </w:tc>
      </w:tr>
      <w:tr>
        <w:trPr>
          <w:cantSplit/>
        </w:trPr>
        <w:tc>
          <w:tcPr>
            <w:tcW w:type="pct" w:w="34%"/>
            <w:tcMar>
              <w:top w:type="dxa" w:w="60"/>
              <w:left w:type="dxa" w:w="120"/>
              <w:bottom w:type="dxa" w:w="60"/>
              <w:right w:type="dxa" w:w="120"/>
            </w:tcMar>
          </w:tcPr>
          <w:p>
            <w:pPr>
              <w:spacing w:line="276"/>
            </w:pPr>
            <w:r>
              <w:rPr>
                <w:rFonts w:ascii="Calibri" w:eastAsia="Microsoft YaHei"/>
                <w:color w:val="182030"/>
                <w:sz w:val="20"/>
                <w:szCs w:val="20"/>
              </w:rPr>
              <w:t xml:space="preserve">Scope</w:t>
            </w:r>
          </w:p>
        </w:tc>
        <w:tc>
          <w:tcPr>
            <w:tcW w:type="pct" w:w="66%"/>
            <w:tcMar>
              <w:top w:type="dxa" w:w="60"/>
              <w:left w:type="dxa" w:w="120"/>
              <w:bottom w:type="dxa" w:w="60"/>
              <w:right w:type="dxa" w:w="120"/>
            </w:tcMar>
          </w:tcPr>
          <w:p>
            <w:pPr>
              <w:spacing w:line="276"/>
            </w:pPr>
            <w:r>
              <w:rPr>
                <w:rFonts w:ascii="Calibri" w:eastAsia="Microsoft YaHei"/>
                <w:color w:val="182030"/>
                <w:sz w:val="20"/>
                <w:szCs w:val="20"/>
              </w:rPr>
              <w:t xml:space="preserve">community (org_platform)</w:t>
            </w:r>
          </w:p>
        </w:tc>
      </w:tr>
      <w:tr>
        <w:trPr>
          <w:cantSplit/>
        </w:trPr>
        <w:tc>
          <w:tcPr>
            <w:tcW w:type="pct" w:w="34%"/>
            <w:tcMar>
              <w:top w:type="dxa" w:w="60"/>
              <w:left w:type="dxa" w:w="120"/>
              <w:bottom w:type="dxa" w:w="60"/>
              <w:right w:type="dxa" w:w="120"/>
            </w:tcMar>
          </w:tcPr>
          <w:p>
            <w:pPr>
              <w:spacing w:line="276"/>
            </w:pPr>
            <w:r>
              <w:rPr>
                <w:rFonts w:ascii="Calibri" w:eastAsia="Microsoft YaHei"/>
                <w:color w:val="182030"/>
                <w:sz w:val="20"/>
                <w:szCs w:val="20"/>
              </w:rPr>
              <w:t xml:space="preserve">Send methods available</w:t>
            </w:r>
          </w:p>
        </w:tc>
        <w:tc>
          <w:tcPr>
            <w:tcW w:type="pct" w:w="66%"/>
            <w:tcMar>
              <w:top w:type="dxa" w:w="60"/>
              <w:left w:type="dxa" w:w="120"/>
              <w:bottom w:type="dxa" w:w="60"/>
              <w:right w:type="dxa" w:w="120"/>
            </w:tcMar>
          </w:tcPr>
          <w:p>
            <w:pPr>
              <w:spacing w:line="276"/>
            </w:pPr>
            <w:r>
              <w:rPr>
                <w:rFonts w:ascii="Calibri" w:eastAsia="Microsoft YaHei"/>
                <w:color w:val="182030"/>
                <w:sz w:val="20"/>
                <w:szCs w:val="20"/>
              </w:rPr>
              <w:t xml:space="preserve">Send Message (primary), Send Draft, Create Draft</w:t>
            </w:r>
          </w:p>
        </w:tc>
      </w:tr>
      <w:tr>
        <w:trPr>
          <w:cantSplit/>
        </w:trPr>
        <w:tc>
          <w:tcPr>
            <w:tcW w:type="pct" w:w="34%"/>
            <w:tcMar>
              <w:top w:type="dxa" w:w="60"/>
              <w:left w:type="dxa" w:w="120"/>
              <w:bottom w:type="dxa" w:w="60"/>
              <w:right w:type="dxa" w:w="120"/>
            </w:tcMar>
          </w:tcPr>
          <w:p>
            <w:pPr>
              <w:spacing w:line="276"/>
            </w:pPr>
            <w:r>
              <w:rPr>
                <w:rFonts w:ascii="Calibri" w:eastAsia="Microsoft YaHei"/>
                <w:color w:val="182030"/>
                <w:sz w:val="20"/>
                <w:szCs w:val="20"/>
              </w:rPr>
              <w:t xml:space="preserve">Catalog size checked</w:t>
            </w:r>
          </w:p>
        </w:tc>
        <w:tc>
          <w:tcPr>
            <w:tcW w:type="pct" w:w="66%"/>
            <w:tcMar>
              <w:top w:type="dxa" w:w="60"/>
              <w:left w:type="dxa" w:w="120"/>
              <w:bottom w:type="dxa" w:w="60"/>
              <w:right w:type="dxa" w:w="120"/>
            </w:tcMar>
          </w:tcPr>
          <w:p>
            <w:pPr>
              <w:spacing w:line="276"/>
            </w:pPr>
            <w:r>
              <w:rPr>
                <w:rFonts w:ascii="Calibri" w:eastAsia="Microsoft YaHei"/>
                <w:color w:val="182030"/>
                <w:sz w:val="20"/>
                <w:szCs w:val="20"/>
              </w:rPr>
              <w:t xml:space="preserve">415 connectors total; Gmail, Outlook Mail, Mailgun, Brevo, Elastic Email, Mailjet, MailerLite, Loops, Resend-class options all present as fallbacks</w:t>
            </w:r>
          </w:p>
        </w:tc>
      </w:tr>
    </w:tbl>
    <w:p>
      <w:pPr>
        <w:spacing w:after="100" w:line="312"/>
        <w:jc w:val="both"/>
      </w:pPr>
      <w:r>
        <w:rPr>
          <w:rFonts w:ascii="Calibri" w:eastAsia="Microsoft YaHei"/>
          <w:b w:val="false"/>
          <w:bCs w:val="false"/>
          <w:i w:val="false"/>
          <w:iCs w:val="false"/>
          <w:color w:val="182030"/>
          <w:sz w:val="22"/>
          <w:szCs w:val="22"/>
        </w:rPr>
        <w:t xml:space="preserve">Discovery commands actually used (for re-verification):</w:t>
      </w:r>
    </w:p>
    <w:tbl>
      <w:tblPr>
        <w:tblW w:type="pct" w:w="100%"/>
        <w:tblBorders>
          <w:top w:val="single" w:color="DDD0C8" w:sz="2"/>
          <w:left w:val="single" w:color="DDD0C8" w:sz="2"/>
          <w:bottom w:val="single" w:color="DDD0C8" w:sz="2"/>
          <w:right w:val="single" w:color="DDD0C8" w:sz="2"/>
          <w:insideH w:val="none" w:color="FFFFFF" w:sz="0"/>
          <w:insideV w:val="none" w:color="FFFFFF" w:sz="0"/>
        </w:tblBorders>
      </w:tblPr>
      <w:tblGrid>
        <w:gridCol w:w="100"/>
      </w:tblGrid>
      <w:tr>
        <w:tc>
          <w:tcPr>
            <w:shd w:fill="F4F1EE" w:val="clear"/>
            <w:tcMar>
              <w:top w:type="dxa" w:w="90"/>
              <w:left w:type="dxa" w:w="160"/>
              <w:bottom w:type="dxa" w:w="90"/>
              <w:right w:type="dxa" w:w="160"/>
            </w:tcMar>
          </w:tcPr>
          <w:p>
            <w:pPr>
              <w:spacing w:after="20" w:line="260"/>
            </w:pPr>
            <w:r>
              <w:rPr>
                <w:rFonts w:ascii="Consolas" w:eastAsia="Microsoft YaHei"/>
                <w:color w:val="2A2A2A"/>
                <w:sz w:val="17"/>
                <w:szCs w:val="17"/>
              </w:rPr>
              <w:t xml:space="preserve">cd PULSEGUARD-</w:t>
            </w:r>
          </w:p>
          <w:p>
            <w:pPr>
              <w:spacing w:after="20" w:line="260"/>
            </w:pPr>
            <w:r>
              <w:rPr>
                <w:rFonts w:ascii="Consolas" w:eastAsia="Microsoft YaHei"/>
                <w:color w:val="2A2A2A"/>
                <w:sz w:val="17"/>
                <w:szCs w:val="17"/>
              </w:rPr>
              <w:t xml:space="preserve">node agent-tooling/mcp-call.mjs '{"label":"conns","tool":"fastnPlatform__listConnectors","args":{}}'</w:t>
            </w:r>
          </w:p>
          <w:p>
            <w:pPr>
              <w:spacing w:after="20" w:line="260"/>
            </w:pPr>
            <w:r>
              <w:rPr>
                <w:rFonts w:ascii="Consolas" w:eastAsia="Microsoft YaHei"/>
                <w:color w:val="2A2A2A"/>
                <w:sz w:val="17"/>
                <w:szCs w:val="17"/>
              </w:rPr>
              <w:t xml:space="preserve">node agent-tooling/mcp-call.mjs '{"label":"m","tool":"fastnPlatform__getConnectorMethods","args":{"id":"ec3c1b4a-e281-4c5e-9a6b-90eb4a59882f"}}'</w:t>
            </w:r>
          </w:p>
        </w:tc>
      </w:tr>
    </w:tbl>
    <w:p>
      <w:pPr>
        <w:spacing w:after="100" w:line="312"/>
        <w:jc w:val="both"/>
      </w:pPr>
      <w:r>
        <w:rPr>
          <w:rFonts w:ascii="Calibri" w:eastAsia="Microsoft YaHei"/>
          <w:b/>
          <w:bCs/>
          <w:i w:val="false"/>
          <w:iCs w:val="false"/>
          <w:color w:val="182030"/>
          <w:sz w:val="22"/>
          <w:szCs w:val="22"/>
        </w:rPr>
        <w:t xml:space="preserve">Tooling gotchas that already cost time - obey these: </w:t>
      </w:r>
      <w:r>
        <w:rPr>
          <w:rFonts w:ascii="Calibri" w:eastAsia="Microsoft YaHei"/>
          <w:b w:val="false"/>
          <w:bCs w:val="false"/>
          <w:i w:val="false"/>
          <w:iCs w:val="false"/>
          <w:color w:val="182030"/>
          <w:sz w:val="22"/>
          <w:szCs w:val="22"/>
        </w:rPr>
        <w:t xml:space="preserve">the gate call (skill slug gateway) is built into mcp-call.mjs, do not pass it yourself. Each CLI argument = ONE call object {label, tool, args} - passing an array fails with 'missing params.name'. getConnectorMethods takes {id}, NOT {connectorId}. On Windows Git Bash, single-quote the JSON; or pass a path to a file containing one JSON object.</w:t>
      </w:r>
    </w:p>
    <w:p>
      <w:pPr>
        <w:pStyle w:val="Heading1"/>
        <w:spacing w:after="140" w:before="360" w:line="312"/>
      </w:pPr>
      <w:r>
        <w:rPr>
          <w:rFonts w:ascii="Calibri" w:eastAsia="Microsoft YaHei"/>
          <w:b/>
          <w:bCs/>
          <w:color w:val="1A2330"/>
          <w:sz w:val="30"/>
          <w:szCs w:val="30"/>
        </w:rPr>
        <w:t xml:space="preserve">3. Step-by-Step Continuation Plan</w:t>
      </w:r>
    </w:p>
    <w:p>
      <w:pPr>
        <w:pStyle w:val="Heading2"/>
        <w:spacing w:after="110" w:before="240" w:line="312"/>
      </w:pPr>
      <w:r>
        <w:rPr>
          <w:rFonts w:ascii="Calibri" w:eastAsia="Microsoft YaHei"/>
          <w:b/>
          <w:bCs/>
          <w:color w:val="1A2330"/>
          <w:sz w:val="25"/>
          <w:szCs w:val="25"/>
        </w:rPr>
        <w:t xml:space="preserve">Step 1 - OAuth connect (the one human click)</w:t>
      </w:r>
    </w:p>
    <w:tbl>
      <w:tblPr>
        <w:tblW w:type="pct" w:w="100%"/>
        <w:tblBorders>
          <w:top w:val="single" w:color="DDD0C8" w:sz="2"/>
          <w:left w:val="single" w:color="DDD0C8" w:sz="2"/>
          <w:bottom w:val="single" w:color="DDD0C8" w:sz="2"/>
          <w:right w:val="single" w:color="DDD0C8" w:sz="2"/>
          <w:insideH w:val="none" w:color="FFFFFF" w:sz="0"/>
          <w:insideV w:val="none" w:color="FFFFFF" w:sz="0"/>
        </w:tblBorders>
      </w:tblPr>
      <w:tblGrid>
        <w:gridCol w:w="100"/>
      </w:tblGrid>
      <w:tr>
        <w:tc>
          <w:tcPr>
            <w:shd w:fill="F4F1EE" w:val="clear"/>
            <w:tcMar>
              <w:top w:type="dxa" w:w="90"/>
              <w:left w:type="dxa" w:w="160"/>
              <w:bottom w:type="dxa" w:w="90"/>
              <w:right w:type="dxa" w:w="160"/>
            </w:tcMar>
          </w:tcPr>
          <w:p>
            <w:pPr>
              <w:spacing w:after="20" w:line="260"/>
            </w:pPr>
            <w:r>
              <w:rPr>
                <w:rFonts w:ascii="Consolas" w:eastAsia="Microsoft YaHei"/>
                <w:color w:val="2A2A2A"/>
                <w:sz w:val="17"/>
                <w:szCs w:val="17"/>
              </w:rPr>
              <w:t xml:space="preserve">node agent-tooling/mcp-call.mjs '{"label":"oauth","tool":"fastnPlatform__initiateOauthConnection","args":{</w:t>
            </w:r>
          </w:p>
          <w:p>
            <w:pPr>
              <w:spacing w:after="20" w:line="260"/>
            </w:pPr>
            <w:r>
              <w:rPr>
                <w:rFonts w:ascii="Consolas" w:eastAsia="Microsoft YaHei"/>
                <w:color w:val="2A2A2A"/>
                <w:sz w:val="17"/>
                <w:szCs w:val="17"/>
              </w:rPr>
              <w:t xml:space="preserve">  "connectorId":"ec3c1b4a-e281-4c5e-9a6b-90eb4a59882f",</w:t>
            </w:r>
          </w:p>
          <w:p>
            <w:pPr>
              <w:spacing w:after="20" w:line="260"/>
            </w:pPr>
            <w:r>
              <w:rPr>
                <w:rFonts w:ascii="Consolas" w:eastAsia="Microsoft YaHei"/>
                <w:color w:val="2A2A2A"/>
                <w:sz w:val="17"/>
                <w:szCs w:val="17"/>
              </w:rPr>
              <w:t xml:space="preserve">  "authMethodId":"5e2cd543-bb00-47a8-a16f-aeb42743b1fe",</w:t>
            </w:r>
          </w:p>
          <w:p>
            <w:pPr>
              <w:spacing w:after="20" w:line="260"/>
            </w:pPr>
            <w:r>
              <w:rPr>
                <w:rFonts w:ascii="Consolas" w:eastAsia="Microsoft YaHei"/>
                <w:color w:val="2A2A2A"/>
                <w:sz w:val="17"/>
                <w:szCs w:val="17"/>
              </w:rPr>
              <w:t xml:space="preserve">  "source":"mcp","connectionName":"PulseGuard Gmail"}}'</w:t>
            </w:r>
          </w:p>
        </w:tc>
      </w:tr>
    </w:tbl>
    <w:p>
      <w:pPr>
        <w:spacing w:after="100" w:line="312"/>
        <w:jc w:val="both"/>
      </w:pPr>
      <w:r>
        <w:rPr>
          <w:rFonts w:ascii="Calibri" w:eastAsia="Microsoft YaHei"/>
          <w:b w:val="false"/>
          <w:bCs w:val="false"/>
          <w:i w:val="false"/>
          <w:iCs w:val="false"/>
          <w:color w:val="182030"/>
          <w:sz w:val="22"/>
          <w:szCs w:val="22"/>
        </w:rPr>
        <w:t xml:space="preserve">Hand the returned authorizationUrl to the owner; they approve with the Google account. Then list connections to capture the new ucl:... connectionId (a connections-list tool exists in the gateway tools list; or read it in the Fastn dashboard under Connections). Record it - it goes into the workflow CONNECTION_MAP.</w:t>
      </w:r>
    </w:p>
    <w:p>
      <w:pPr>
        <w:pStyle w:val="Heading2"/>
        <w:spacing w:after="110" w:before="240" w:line="312"/>
      </w:pPr>
      <w:r>
        <w:rPr>
          <w:rFonts w:ascii="Calibri" w:eastAsia="Microsoft YaHei"/>
          <w:b/>
          <w:bCs/>
          <w:color w:val="1A2330"/>
          <w:sz w:val="25"/>
          <w:szCs w:val="25"/>
        </w:rPr>
        <w:t xml:space="preserve">Step 2 - Workflow v3</w:t>
      </w:r>
    </w:p>
    <w:p>
      <w:pPr>
        <w:spacing w:after="100" w:line="312"/>
        <w:jc w:val="both"/>
      </w:pPr>
      <w:r>
        <w:rPr>
          <w:rFonts w:ascii="Calibri" w:eastAsia="Microsoft YaHei"/>
          <w:b w:val="false"/>
          <w:bCs w:val="false"/>
          <w:i w:val="false"/>
          <w:iCs w:val="false"/>
          <w:color w:val="182030"/>
          <w:sz w:val="22"/>
          <w:szCs w:val="22"/>
        </w:rPr>
        <w:t xml:space="preserve">Copy fastn/pulseguard-risk-engine.js to fastn/pulseguard-risk-engine-v3.js and apply four edits:</w:t>
      </w:r>
    </w:p>
    <w:p>
      <w:pPr>
        <w:pStyle w:val="ListParagraph"/>
        <w:numPr>
          <w:ilvl w:val="0"/>
          <w:numId w:val="1"/>
        </w:numPr>
        <w:spacing w:after="60" w:line="312"/>
      </w:pPr>
      <w:r>
        <w:rPr>
          <w:rFonts w:ascii="Calibri" w:eastAsia="Microsoft YaHei"/>
          <w:b w:val="false"/>
          <w:bCs w:val="false"/>
          <w:color w:val="182030"/>
          <w:sz w:val="22"/>
          <w:szCs w:val="22"/>
        </w:rPr>
        <w:t xml:space="preserve">a) CONNECTION_MAP: add gmail per tenant - { endOrgId, hubspot, slack, gmail: 'ucl:&lt;new-connection-id&gt;' } (same id for both tenants is fine with one Google account).</w:t>
      </w:r>
    </w:p>
    <w:p>
      <w:pPr>
        <w:pStyle w:val="ListParagraph"/>
        <w:numPr>
          <w:ilvl w:val="0"/>
          <w:numId w:val="1"/>
        </w:numPr>
        <w:spacing w:after="60" w:line="312"/>
      </w:pPr>
      <w:r>
        <w:rPr>
          <w:rFonts w:ascii="Calibri" w:eastAsia="Microsoft YaHei"/>
          <w:b w:val="false"/>
          <w:bCs w:val="false"/>
          <w:color w:val="182030"/>
          <w:sz w:val="22"/>
          <w:szCs w:val="22"/>
        </w:rPr>
        <w:t xml:space="preserve">b) Fastn init: connectors: { hubspot, slack, gmail: { orgId: 'managed', connectionId: map.gmail } }.</w:t>
      </w:r>
    </w:p>
    <w:p>
      <w:pPr>
        <w:pStyle w:val="ListParagraph"/>
        <w:numPr>
          <w:ilvl w:val="0"/>
          <w:numId w:val="1"/>
        </w:numPr>
        <w:spacing w:after="60" w:line="312"/>
      </w:pPr>
      <w:r>
        <w:rPr>
          <w:rFonts w:ascii="Calibri" w:eastAsia="Microsoft YaHei"/>
          <w:b w:val="false"/>
          <w:bCs w:val="false"/>
          <w:color w:val="182030"/>
          <w:sz w:val="22"/>
          <w:szCs w:val="22"/>
        </w:rPr>
        <w:t xml:space="preserve">c) Read cfg.notifyEmail next to cfg.slackChannel (installation config header x-fastn-installation-config).</w:t>
      </w:r>
    </w:p>
    <w:p>
      <w:pPr>
        <w:pStyle w:val="ListParagraph"/>
        <w:numPr>
          <w:ilvl w:val="0"/>
          <w:numId w:val="1"/>
        </w:numPr>
        <w:spacing w:after="60" w:line="312"/>
      </w:pPr>
      <w:r>
        <w:rPr>
          <w:rFonts w:ascii="Calibri" w:eastAsia="Microsoft YaHei"/>
          <w:b w:val="false"/>
          <w:bCs w:val="false"/>
          <w:color w:val="182030"/>
          <w:sz w:val="22"/>
          <w:szCs w:val="22"/>
        </w:rPr>
        <w:t xml:space="preserve">d) Insert between the Slack block and the DB persist block:</w:t>
      </w:r>
    </w:p>
    <w:tbl>
      <w:tblPr>
        <w:tblW w:type="pct" w:w="100%"/>
        <w:tblBorders>
          <w:top w:val="single" w:color="DDD0C8" w:sz="2"/>
          <w:left w:val="single" w:color="DDD0C8" w:sz="2"/>
          <w:bottom w:val="single" w:color="DDD0C8" w:sz="2"/>
          <w:right w:val="single" w:color="DDD0C8" w:sz="2"/>
          <w:insideH w:val="none" w:color="FFFFFF" w:sz="0"/>
          <w:insideV w:val="none" w:color="FFFFFF" w:sz="0"/>
        </w:tblBorders>
      </w:tblPr>
      <w:tblGrid>
        <w:gridCol w:w="100"/>
      </w:tblGrid>
      <w:tr>
        <w:tc>
          <w:tcPr>
            <w:shd w:fill="F4F1EE" w:val="clear"/>
            <w:tcMar>
              <w:top w:type="dxa" w:w="90"/>
              <w:left w:type="dxa" w:w="160"/>
              <w:bottom w:type="dxa" w:w="90"/>
              <w:right w:type="dxa" w:w="160"/>
            </w:tcMar>
          </w:tcPr>
          <w:p>
            <w:pPr>
              <w:spacing w:after="20" w:line="260"/>
            </w:pPr>
            <w:r>
              <w:rPr>
                <w:rFonts w:ascii="Consolas" w:eastAsia="Microsoft YaHei"/>
                <w:color w:val="2A2A2A"/>
                <w:sz w:val="17"/>
                <w:szCs w:val="17"/>
              </w:rPr>
              <w:t xml:space="preserve">// 3b) EMAIL ALERT (Gmail) - failure isolated</w:t>
            </w:r>
          </w:p>
          <w:p>
            <w:pPr>
              <w:spacing w:after="20" w:line="260"/>
            </w:pPr>
            <w:r>
              <w:rPr>
                <w:rFonts w:ascii="Consolas" w:eastAsia="Microsoft YaHei"/>
                <w:color w:val="2A2A2A"/>
                <w:sz w:val="17"/>
                <w:szCs w:val="17"/>
              </w:rPr>
              <w:t xml:space="preserve">const mailTo = account.ownerEmail || cfg.notifyEmail || null;</w:t>
            </w:r>
          </w:p>
          <w:p>
            <w:pPr>
              <w:spacing w:after="20" w:line="260"/>
            </w:pPr>
            <w:r>
              <w:rPr>
                <w:rFonts w:ascii="Consolas" w:eastAsia="Microsoft YaHei"/>
                <w:color w:val="2A2A2A"/>
                <w:sz w:val="17"/>
                <w:szCs w:val="17"/>
              </w:rPr>
              <w:t xml:space="preserve">if (mailTo) {</w:t>
            </w:r>
          </w:p>
          <w:p>
            <w:pPr>
              <w:spacing w:after="20" w:line="260"/>
            </w:pPr>
            <w:r>
              <w:rPr>
                <w:rFonts w:ascii="Consolas" w:eastAsia="Microsoft YaHei"/>
                <w:color w:val="2A2A2A"/>
                <w:sz w:val="17"/>
                <w:szCs w:val="17"/>
              </w:rPr>
              <w:t xml:space="preserve">  try {</w:t>
            </w:r>
          </w:p>
          <w:p>
            <w:pPr>
              <w:spacing w:after="20" w:line="260"/>
            </w:pPr>
            <w:r>
              <w:rPr>
                <w:rFonts w:ascii="Consolas" w:eastAsia="Microsoft YaHei"/>
                <w:color w:val="2A2A2A"/>
                <w:sz w:val="17"/>
                <w:szCs w:val="17"/>
              </w:rPr>
              <w:t xml:space="preserve">    const subj = "[PulseGuard] Churn risk: " + (account.name || customerId)</w:t>
            </w:r>
          </w:p>
          <w:p>
            <w:pPr>
              <w:spacing w:after="20" w:line="260"/>
            </w:pPr>
            <w:r>
              <w:rPr>
                <w:rFonts w:ascii="Consolas" w:eastAsia="Microsoft YaHei"/>
                <w:color w:val="2A2A2A"/>
                <w:sz w:val="17"/>
                <w:szCs w:val="17"/>
              </w:rPr>
              <w:t xml:space="preserve">      + " - usage down " + usageDropPct + "%";</w:t>
            </w:r>
          </w:p>
          <w:p>
            <w:pPr>
              <w:spacing w:after="20" w:line="260"/>
            </w:pPr>
            <w:r>
              <w:rPr>
                <w:rFonts w:ascii="Consolas" w:eastAsia="Microsoft YaHei"/>
                <w:color w:val="2A2A2A"/>
                <w:sz w:val="17"/>
                <w:szCs w:val="17"/>
              </w:rPr>
              <w:t xml:space="preserve">    const htmlBody = "&lt;h2&gt;Churn risk detected&lt;/h2&gt;"</w:t>
            </w:r>
          </w:p>
          <w:p>
            <w:pPr>
              <w:spacing w:after="20" w:line="260"/>
            </w:pPr>
            <w:r>
              <w:rPr>
                <w:rFonts w:ascii="Consolas" w:eastAsia="Microsoft YaHei"/>
                <w:color w:val="2A2A2A"/>
                <w:sz w:val="17"/>
                <w:szCs w:val="17"/>
              </w:rPr>
              <w:t xml:space="preserve">      + "&lt;p&gt;" + (account.name || customerId) + " usage dropped &lt;b&gt;" + usageDropPct</w:t>
            </w:r>
          </w:p>
          <w:p>
            <w:pPr>
              <w:spacing w:after="20" w:line="260"/>
            </w:pPr>
            <w:r>
              <w:rPr>
                <w:rFonts w:ascii="Consolas" w:eastAsia="Microsoft YaHei"/>
                <w:color w:val="2A2A2A"/>
                <w:sz w:val="17"/>
                <w:szCs w:val="17"/>
              </w:rPr>
              <w:t xml:space="preserve">      + "%&lt;/b&gt; this week (health " + healthScore + ").&lt;/p&gt;"</w:t>
            </w:r>
          </w:p>
          <w:p>
            <w:pPr>
              <w:spacing w:after="20" w:line="260"/>
            </w:pPr>
            <w:r>
              <w:rPr>
                <w:rFonts w:ascii="Consolas" w:eastAsia="Microsoft YaHei"/>
                <w:color w:val="2A2A2A"/>
                <w:sz w:val="17"/>
                <w:szCs w:val="17"/>
              </w:rPr>
              <w:t xml:space="preserve">      + "&lt;p&gt;" + (metricSummary || "") + "&lt;/p&gt;"</w:t>
            </w:r>
          </w:p>
          <w:p>
            <w:pPr>
              <w:spacing w:after="20" w:line="260"/>
            </w:pPr>
            <w:r>
              <w:rPr>
                <w:rFonts w:ascii="Consolas" w:eastAsia="Microsoft YaHei"/>
                <w:color w:val="2A2A2A"/>
                <w:sz w:val="17"/>
                <w:szCs w:val="17"/>
              </w:rPr>
              <w:t xml:space="preserve">      + '&lt;p&gt;&lt;a href="' + ackUrl + '" style="background:#4F46E5;color:#fff;'</w:t>
            </w:r>
          </w:p>
          <w:p>
            <w:pPr>
              <w:spacing w:after="20" w:line="260"/>
            </w:pPr>
            <w:r>
              <w:rPr>
                <w:rFonts w:ascii="Consolas" w:eastAsia="Microsoft YaHei"/>
                <w:color w:val="2A2A2A"/>
                <w:sz w:val="17"/>
                <w:szCs w:val="17"/>
              </w:rPr>
              <w:t xml:space="preserve">      + 'padding:10px 18px;border-radius:8px;text-decoration:none;"&gt;'</w:t>
            </w:r>
          </w:p>
          <w:p>
            <w:pPr>
              <w:spacing w:after="20" w:line="260"/>
            </w:pPr>
            <w:r>
              <w:rPr>
                <w:rFonts w:ascii="Consolas" w:eastAsia="Microsoft YaHei"/>
                <w:color w:val="2A2A2A"/>
                <w:sz w:val="17"/>
                <w:szCs w:val="17"/>
              </w:rPr>
              <w:t xml:space="preserve">      + "Acknowledge risk&lt;/a&gt;&lt;/p&gt;";</w:t>
            </w:r>
          </w:p>
          <w:p>
            <w:pPr>
              <w:spacing w:after="20" w:line="260"/>
            </w:pPr>
            <w:r>
              <w:rPr>
                <w:rFonts w:ascii="Consolas" w:eastAsia="Microsoft YaHei"/>
                <w:color w:val="2A2A2A"/>
                <w:sz w:val="17"/>
                <w:szCs w:val="17"/>
              </w:rPr>
              <w:t xml:space="preserve">    await fastn.connector.googleGmail.sendMessage({</w:t>
            </w:r>
          </w:p>
          <w:p>
            <w:pPr>
              <w:spacing w:after="20" w:line="260"/>
            </w:pPr>
            <w:r>
              <w:rPr>
                <w:rFonts w:ascii="Consolas" w:eastAsia="Microsoft YaHei"/>
                <w:color w:val="2A2A2A"/>
                <w:sz w:val="17"/>
                <w:szCs w:val="17"/>
              </w:rPr>
              <w:t xml:space="preserve">      to: mailTo, subject: subj, html: htmlBody });</w:t>
            </w:r>
          </w:p>
          <w:p>
            <w:pPr>
              <w:spacing w:after="20" w:line="260"/>
            </w:pPr>
            <w:r>
              <w:rPr>
                <w:rFonts w:ascii="Consolas" w:eastAsia="Microsoft YaHei"/>
                <w:color w:val="2A2A2A"/>
                <w:sz w:val="17"/>
                <w:szCs w:val="17"/>
              </w:rPr>
              <w:t xml:space="preserve">    steps.push("email-ok");</w:t>
            </w:r>
          </w:p>
          <w:p>
            <w:pPr>
              <w:spacing w:after="20" w:line="260"/>
            </w:pPr>
            <w:r>
              <w:rPr>
                <w:rFonts w:ascii="Consolas" w:eastAsia="Microsoft YaHei"/>
                <w:color w:val="2A2A2A"/>
                <w:sz w:val="17"/>
                <w:szCs w:val="17"/>
              </w:rPr>
              <w:t xml:space="preserve">  } catch (e) {</w:t>
            </w:r>
          </w:p>
          <w:p>
            <w:pPr>
              <w:spacing w:after="20" w:line="260"/>
            </w:pPr>
            <w:r>
              <w:rPr>
                <w:rFonts w:ascii="Consolas" w:eastAsia="Microsoft YaHei"/>
                <w:color w:val="2A2A2A"/>
                <w:sz w:val="17"/>
                <w:szCs w:val="17"/>
              </w:rPr>
              <w:t xml:space="preserve">    steps.push("email-fail:" + String((e &amp;&amp; e.message) || e).slice(0, 40));</w:t>
            </w:r>
          </w:p>
          <w:p>
            <w:pPr>
              <w:spacing w:after="20" w:line="260"/>
            </w:pPr>
            <w:r>
              <w:rPr>
                <w:rFonts w:ascii="Consolas" w:eastAsia="Microsoft YaHei"/>
                <w:color w:val="2A2A2A"/>
                <w:sz w:val="17"/>
                <w:szCs w:val="17"/>
              </w:rPr>
              <w:t xml:space="preserve">  }</w:t>
            </w:r>
          </w:p>
          <w:p>
            <w:pPr>
              <w:spacing w:after="20" w:line="260"/>
            </w:pPr>
            <w:r>
              <w:rPr>
                <w:rFonts w:ascii="Consolas" w:eastAsia="Microsoft YaHei"/>
                <w:color w:val="2A2A2A"/>
                <w:sz w:val="17"/>
                <w:szCs w:val="17"/>
              </w:rPr>
              <w:t xml:space="preserve">} else { steps.push("email-skip:no-recipient"); }</w:t>
            </w:r>
          </w:p>
        </w:tc>
      </w:tr>
    </w:tbl>
    <w:p>
      <w:pPr>
        <w:spacing w:after="100" w:line="312"/>
        <w:jc w:val="both"/>
      </w:pPr>
      <w:r>
        <w:rPr>
          <w:rFonts w:ascii="Calibri" w:eastAsia="Microsoft YaHei"/>
          <w:b w:val="false"/>
          <w:bCs w:val="false"/>
          <w:i w:val="false"/>
          <w:iCs w:val="false"/>
          <w:color w:val="182030"/>
          <w:sz w:val="22"/>
          <w:szCs w:val="22"/>
        </w:rPr>
        <w:t xml:space="preserve">Method naming: connector methods are exposed per the connector slug - confirm the exact runtime name by checking how v2 calls slack (fastn.connector.slack.createChatPostMessage came from the method Create Chat Post Message). So Send Message likely maps to fastn.connector.googleGmail.sendMessage. If that name errors, dump the method detail (getConnectorMethods output) and adapt; the try/catch means a wrong guess cannot break the loop.</w:t>
      </w:r>
    </w:p>
    <w:p>
      <w:pPr>
        <w:pStyle w:val="Heading2"/>
        <w:spacing w:after="110" w:before="240" w:line="312"/>
      </w:pPr>
      <w:r>
        <w:rPr>
          <w:rFonts w:ascii="Calibri" w:eastAsia="Microsoft YaHei"/>
          <w:b/>
          <w:bCs/>
          <w:color w:val="1A2330"/>
          <w:sz w:val="25"/>
          <w:szCs w:val="25"/>
        </w:rPr>
        <w:t xml:space="preserve">Step 3 - Report the email to the app (feeds the Emails page)</w:t>
      </w:r>
    </w:p>
    <w:p>
      <w:pPr>
        <w:spacing w:after="100" w:line="312"/>
        <w:jc w:val="both"/>
      </w:pPr>
      <w:r>
        <w:rPr>
          <w:rFonts w:ascii="Calibri" w:eastAsia="Microsoft YaHei"/>
          <w:b w:val="false"/>
          <w:bCs w:val="false"/>
          <w:i w:val="false"/>
          <w:iCs w:val="false"/>
          <w:color w:val="182030"/>
          <w:sz w:val="22"/>
          <w:szCs w:val="22"/>
        </w:rPr>
        <w:t xml:space="preserve">Inside the same email-ok branch, fire the app log route:</w:t>
      </w:r>
    </w:p>
    <w:tbl>
      <w:tblPr>
        <w:tblW w:type="pct" w:w="100%"/>
        <w:tblBorders>
          <w:top w:val="single" w:color="DDD0C8" w:sz="2"/>
          <w:left w:val="single" w:color="DDD0C8" w:sz="2"/>
          <w:bottom w:val="single" w:color="DDD0C8" w:sz="2"/>
          <w:right w:val="single" w:color="DDD0C8" w:sz="2"/>
          <w:insideH w:val="none" w:color="FFFFFF" w:sz="0"/>
          <w:insideV w:val="none" w:color="FFFFFF" w:sz="0"/>
        </w:tblBorders>
      </w:tblPr>
      <w:tblGrid>
        <w:gridCol w:w="100"/>
      </w:tblGrid>
      <w:tr>
        <w:tc>
          <w:tcPr>
            <w:shd w:fill="F4F1EE" w:val="clear"/>
            <w:tcMar>
              <w:top w:type="dxa" w:w="90"/>
              <w:left w:type="dxa" w:w="160"/>
              <w:bottom w:type="dxa" w:w="90"/>
              <w:right w:type="dxa" w:w="160"/>
            </w:tcMar>
          </w:tcPr>
          <w:p>
            <w:pPr>
              <w:spacing w:after="20" w:line="260"/>
            </w:pPr>
            <w:r>
              <w:rPr>
                <w:rFonts w:ascii="Consolas" w:eastAsia="Microsoft YaHei"/>
                <w:color w:val="2A2A2A"/>
                <w:sz w:val="17"/>
                <w:szCs w:val="17"/>
              </w:rPr>
              <w:t xml:space="preserve">await fetch((cfg.ackBaseUrl || "https://pulseguard-app-nu.vercel.app")</w:t>
            </w:r>
          </w:p>
          <w:p>
            <w:pPr>
              <w:spacing w:after="20" w:line="260"/>
            </w:pPr>
            <w:r>
              <w:rPr>
                <w:rFonts w:ascii="Consolas" w:eastAsia="Microsoft YaHei"/>
                <w:color w:val="2A2A2A"/>
                <w:sz w:val="17"/>
                <w:szCs w:val="17"/>
              </w:rPr>
              <w:t xml:space="preserve">  + "/api/emails", {</w:t>
            </w:r>
          </w:p>
          <w:p>
            <w:pPr>
              <w:spacing w:after="20" w:line="260"/>
            </w:pPr>
            <w:r>
              <w:rPr>
                <w:rFonts w:ascii="Consolas" w:eastAsia="Microsoft YaHei"/>
                <w:color w:val="2A2A2A"/>
                <w:sz w:val="17"/>
                <w:szCs w:val="17"/>
              </w:rPr>
              <w:t xml:space="preserve">  method: "POST",</w:t>
            </w:r>
          </w:p>
          <w:p>
            <w:pPr>
              <w:spacing w:after="20" w:line="260"/>
            </w:pPr>
            <w:r>
              <w:rPr>
                <w:rFonts w:ascii="Consolas" w:eastAsia="Microsoft YaHei"/>
                <w:color w:val="2A2A2A"/>
                <w:sz w:val="17"/>
                <w:szCs w:val="17"/>
              </w:rPr>
              <w:t xml:space="preserve">  headers: { "Content-Type": "application/json" },</w:t>
            </w:r>
          </w:p>
          <w:p>
            <w:pPr>
              <w:spacing w:after="20" w:line="260"/>
            </w:pPr>
            <w:r>
              <w:rPr>
                <w:rFonts w:ascii="Consolas" w:eastAsia="Microsoft YaHei"/>
                <w:color w:val="2A2A2A"/>
                <w:sz w:val="17"/>
                <w:szCs w:val="17"/>
              </w:rPr>
              <w:t xml:space="preserve">  body: JSON.stringify({</w:t>
            </w:r>
          </w:p>
          <w:p>
            <w:pPr>
              <w:spacing w:after="20" w:line="260"/>
            </w:pPr>
            <w:r>
              <w:rPr>
                <w:rFonts w:ascii="Consolas" w:eastAsia="Microsoft YaHei"/>
                <w:color w:val="2A2A2A"/>
                <w:sz w:val="17"/>
                <w:szCs w:val="17"/>
              </w:rPr>
              <w:t xml:space="preserve">    tenant, to: mailTo, subject: subj, html: htmlBody,</w:t>
            </w:r>
          </w:p>
          <w:p>
            <w:pPr>
              <w:spacing w:after="20" w:line="260"/>
            </w:pPr>
            <w:r>
              <w:rPr>
                <w:rFonts w:ascii="Consolas" w:eastAsia="Microsoft YaHei"/>
                <w:color w:val="2A2A2A"/>
                <w:sz w:val="17"/>
                <w:szCs w:val="17"/>
              </w:rPr>
              <w:t xml:space="preserve">    status: "sent", sentAt: new Date().toISOString() })</w:t>
            </w:r>
          </w:p>
          <w:p>
            <w:pPr>
              <w:spacing w:after="20" w:line="260"/>
            </w:pPr>
            <w:r>
              <w:rPr>
                <w:rFonts w:ascii="Consolas" w:eastAsia="Microsoft YaHei"/>
                <w:color w:val="2A2A2A"/>
                <w:sz w:val="17"/>
                <w:szCs w:val="17"/>
              </w:rPr>
              <w:t xml:space="preserve">}).catch(function(){});</w:t>
            </w:r>
          </w:p>
        </w:tc>
      </w:tr>
    </w:tbl>
    <w:p>
      <w:pPr>
        <w:spacing w:after="100" w:line="312"/>
        <w:jc w:val="both"/>
      </w:pPr>
      <w:r>
        <w:rPr>
          <w:rFonts w:ascii="Calibri" w:eastAsia="Microsoft YaHei"/>
          <w:b w:val="false"/>
          <w:bCs w:val="false"/>
          <w:i w:val="false"/>
          <w:iCs w:val="false"/>
          <w:color w:val="182030"/>
          <w:sz w:val="22"/>
          <w:szCs w:val="22"/>
        </w:rPr>
        <w:t xml:space="preserve">The app side (pulseguard-app/app/api/emails/route.js + in-memory store, mirroring app/api/runs) is speced in document 01 section 3.3. Build that route BEFORE deploying v3 so the first live send is captured.</w:t>
      </w:r>
    </w:p>
    <w:p>
      <w:pPr>
        <w:pStyle w:val="Heading2"/>
        <w:spacing w:after="110" w:before="240" w:line="312"/>
      </w:pPr>
      <w:r>
        <w:rPr>
          <w:rFonts w:ascii="Calibri" w:eastAsia="Microsoft YaHei"/>
          <w:b/>
          <w:bCs/>
          <w:color w:val="1A2330"/>
          <w:sz w:val="25"/>
          <w:szCs w:val="25"/>
        </w:rPr>
        <w:t xml:space="preserve">Step 4 - Deploy v3 (the first-edit rule)</w:t>
      </w:r>
    </w:p>
    <w:tbl>
      <w:tblPr>
        <w:tblW w:type="pct" w:w="100%"/>
        <w:tblBorders>
          <w:top w:val="single" w:color="DDD0C8" w:sz="2"/>
          <w:left w:val="single" w:color="DDD0C8" w:sz="2"/>
          <w:bottom w:val="single" w:color="DDD0C8" w:sz="2"/>
          <w:right w:val="single" w:color="DDD0C8" w:sz="2"/>
          <w:insideH w:val="none" w:color="FFFFFF" w:sz="0"/>
          <w:insideV w:val="none" w:color="FFFFFF" w:sz="0"/>
        </w:tblBorders>
      </w:tblPr>
      <w:tblGrid>
        <w:gridCol w:w="100"/>
      </w:tblGrid>
      <w:tr>
        <w:tc>
          <w:tcPr>
            <w:shd w:fill="F4F1EE" w:val="clear"/>
            <w:tcMar>
              <w:top w:type="dxa" w:w="90"/>
              <w:left w:type="dxa" w:w="160"/>
              <w:bottom w:type="dxa" w:w="90"/>
              <w:right w:type="dxa" w:w="160"/>
            </w:tcMar>
          </w:tcPr>
          <w:p>
            <w:pPr>
              <w:spacing w:after="20" w:line="260"/>
            </w:pPr>
            <w:r>
              <w:rPr>
                <w:rFonts w:ascii="Consolas" w:eastAsia="Microsoft YaHei"/>
                <w:color w:val="2A2A2A"/>
                <w:sz w:val="17"/>
                <w:szCs w:val="17"/>
              </w:rPr>
              <w:t xml:space="preserve">// create</w:t>
            </w:r>
          </w:p>
          <w:p>
            <w:pPr>
              <w:spacing w:after="20" w:line="260"/>
            </w:pPr>
            <w:r>
              <w:rPr>
                <w:rFonts w:ascii="Consolas" w:eastAsia="Microsoft YaHei"/>
                <w:color w:val="2A2A2A"/>
                <w:sz w:val="17"/>
                <w:szCs w:val="17"/>
              </w:rPr>
              <w:t xml:space="preserve">{"label":"create","tool":"fastnPlatform__createWorkflow","args":{</w:t>
            </w:r>
          </w:p>
          <w:p>
            <w:pPr>
              <w:spacing w:after="20" w:line="260"/>
            </w:pPr>
            <w:r>
              <w:rPr>
                <w:rFonts w:ascii="Consolas" w:eastAsia="Microsoft YaHei"/>
                <w:color w:val="2A2A2A"/>
                <w:sz w:val="17"/>
                <w:szCs w:val="17"/>
              </w:rPr>
              <w:t xml:space="preserve"> "name":"pulseguard-risk-engine-v3",</w:t>
            </w:r>
          </w:p>
          <w:p>
            <w:pPr>
              <w:spacing w:after="20" w:line="260"/>
            </w:pPr>
            <w:r>
              <w:rPr>
                <w:rFonts w:ascii="Consolas" w:eastAsia="Microsoft YaHei"/>
                <w:color w:val="2A2A2A"/>
                <w:sz w:val="17"/>
                <w:szCs w:val="17"/>
              </w:rPr>
              <w:t xml:space="preserve"> "description":"v3: Slack + HubSpot + Gmail alert + email log"}}</w:t>
            </w:r>
          </w:p>
          <w:p>
            <w:pPr>
              <w:spacing w:after="20" w:line="260"/>
            </w:pPr>
            <w:r>
              <w:rPr>
                <w:rFonts w:ascii="Consolas" w:eastAsia="Microsoft YaHei"/>
                <w:color w:val="2A2A2A"/>
                <w:sz w:val="17"/>
                <w:szCs w:val="17"/>
              </w:rPr>
              <w:t xml:space="preserve">// then ONE editWorkflowCode with the full v3 code (id = new wf id)</w:t>
            </w:r>
          </w:p>
        </w:tc>
      </w:tr>
    </w:tbl>
    <w:p>
      <w:pPr>
        <w:spacing w:after="100" w:line="312"/>
        <w:jc w:val="both"/>
      </w:pPr>
      <w:r>
        <w:rPr>
          <w:rFonts w:ascii="Calibri" w:eastAsia="Microsoft YaHei"/>
          <w:b w:val="false"/>
          <w:bCs w:val="false"/>
          <w:i w:val="false"/>
          <w:iCs w:val="false"/>
          <w:color w:val="182030"/>
          <w:sz w:val="22"/>
          <w:szCs w:val="22"/>
        </w:rPr>
        <w:t xml:space="preserve">Deploy rules (from docs/build-state.md, hard-won): createWorkflow makes a draft that 409s on execute; the FIRST editWorkflowCode publishes live with 60-150s propagation; later edits only bump devVersion. Rate limit ~15 creates/hour. testSavedWorkflow is the only tool that forwards tenant headers - use it for verification:</w:t>
      </w:r>
    </w:p>
    <w:tbl>
      <w:tblPr>
        <w:tblW w:type="pct" w:w="100%"/>
        <w:tblBorders>
          <w:top w:val="single" w:color="DDD0C8" w:sz="2"/>
          <w:left w:val="single" w:color="DDD0C8" w:sz="2"/>
          <w:bottom w:val="single" w:color="DDD0C8" w:sz="2"/>
          <w:right w:val="single" w:color="DDD0C8" w:sz="2"/>
          <w:insideH w:val="none" w:color="FFFFFF" w:sz="0"/>
          <w:insideV w:val="none" w:color="FFFFFF" w:sz="0"/>
        </w:tblBorders>
      </w:tblPr>
      <w:tblGrid>
        <w:gridCol w:w="100"/>
      </w:tblGrid>
      <w:tr>
        <w:tc>
          <w:tcPr>
            <w:shd w:fill="F4F1EE" w:val="clear"/>
            <w:tcMar>
              <w:top w:type="dxa" w:w="90"/>
              <w:left w:type="dxa" w:w="160"/>
              <w:bottom w:type="dxa" w:w="90"/>
              <w:right w:type="dxa" w:w="160"/>
            </w:tcMar>
          </w:tcPr>
          <w:p>
            <w:pPr>
              <w:spacing w:after="20" w:line="260"/>
            </w:pPr>
            <w:r>
              <w:rPr>
                <w:rFonts w:ascii="Consolas" w:eastAsia="Microsoft YaHei"/>
                <w:color w:val="2A2A2A"/>
                <w:sz w:val="17"/>
                <w:szCs w:val="17"/>
              </w:rPr>
              <w:t xml:space="preserve">node agent-tooling/trigger-anomaly.mjs alpha 55   // dynamic % bypasses 30-min dedupe</w:t>
            </w:r>
          </w:p>
        </w:tc>
      </w:tr>
    </w:tbl>
    <w:p>
      <w:pPr>
        <w:spacing w:after="100" w:line="312"/>
        <w:jc w:val="both"/>
      </w:pPr>
      <w:r>
        <w:rPr>
          <w:rFonts w:ascii="Calibri" w:eastAsia="Microsoft YaHei"/>
          <w:b w:val="false"/>
          <w:bCs w:val="false"/>
          <w:i w:val="false"/>
          <w:iCs w:val="false"/>
          <w:color w:val="182030"/>
          <w:sz w:val="22"/>
          <w:szCs w:val="22"/>
        </w:rPr>
        <w:t xml:space="preserve">Update trigger-anomaly.mjs: its risk-engine id constant changes from wf_fe925b124168 to the new v3 id. Also rename in pulseguard-app/app/api/telemetry/route.js (execute URL) and the frontend literals (app/page.jsx, app/runs/page.jsx). Keep v2 untouched as rollback.</w:t>
      </w:r>
    </w:p>
    <w:p>
      <w:pPr>
        <w:pStyle w:val="Heading2"/>
        <w:spacing w:after="110" w:before="240" w:line="312"/>
      </w:pPr>
      <w:r>
        <w:rPr>
          <w:rFonts w:ascii="Calibri" w:eastAsia="Microsoft YaHei"/>
          <w:b/>
          <w:bCs/>
          <w:color w:val="1A2330"/>
          <w:sz w:val="25"/>
          <w:szCs w:val="25"/>
        </w:rPr>
        <w:t xml:space="preserve">Step 5 - Verify</w:t>
      </w:r>
    </w:p>
    <w:p>
      <w:pPr>
        <w:pStyle w:val="ListParagraph"/>
        <w:numPr>
          <w:ilvl w:val="0"/>
          <w:numId w:val="1"/>
        </w:numPr>
        <w:spacing w:after="60" w:line="312"/>
      </w:pPr>
      <w:r>
        <w:rPr>
          <w:rFonts w:ascii="Calibri" w:eastAsia="Microsoft YaHei"/>
          <w:b w:val="false"/>
          <w:bCs w:val="false"/>
          <w:color w:val="182030"/>
          <w:sz w:val="22"/>
          <w:szCs w:val="22"/>
        </w:rPr>
        <w:t xml:space="preserve">Run trigger-anomaly alpha 55; expect trace ... slack-ok -&gt; email-ok -&gt; db-risk-ok.</w:t>
      </w:r>
    </w:p>
    <w:p>
      <w:pPr>
        <w:pStyle w:val="ListParagraph"/>
        <w:numPr>
          <w:ilvl w:val="0"/>
          <w:numId w:val="1"/>
        </w:numPr>
        <w:spacing w:after="60" w:line="312"/>
      </w:pPr>
      <w:r>
        <w:rPr>
          <w:rFonts w:ascii="Calibri" w:eastAsia="Microsoft YaHei"/>
          <w:b w:val="false"/>
          <w:bCs w:val="false"/>
          <w:color w:val="182030"/>
          <w:sz w:val="22"/>
          <w:szCs w:val="22"/>
        </w:rPr>
        <w:t xml:space="preserve">Email arrives in the owner inbox; Acknowledge button opens the /api/ack confirmation page; dashboard row flips to HANDLED.</w:t>
      </w:r>
    </w:p>
    <w:p>
      <w:pPr>
        <w:pStyle w:val="ListParagraph"/>
        <w:numPr>
          <w:ilvl w:val="0"/>
          <w:numId w:val="1"/>
        </w:numPr>
        <w:spacing w:after="60" w:line="312"/>
      </w:pPr>
      <w:r>
        <w:rPr>
          <w:rFonts w:ascii="Calibri" w:eastAsia="Microsoft YaHei"/>
          <w:b w:val="false"/>
          <w:bCs w:val="false"/>
          <w:color w:val="182030"/>
          <w:sz w:val="22"/>
          <w:szCs w:val="22"/>
        </w:rPr>
        <w:t xml:space="preserve">Emails page shows the record; status flips to Delivered after ~30s (app-side simulation).</w:t>
      </w:r>
    </w:p>
    <w:p>
      <w:pPr>
        <w:pStyle w:val="ListParagraph"/>
        <w:numPr>
          <w:ilvl w:val="0"/>
          <w:numId w:val="1"/>
        </w:numPr>
        <w:spacing w:after="60" w:line="312"/>
      </w:pPr>
      <w:r>
        <w:rPr>
          <w:rFonts w:ascii="Calibri" w:eastAsia="Microsoft YaHei"/>
          <w:b w:val="false"/>
          <w:bCs w:val="false"/>
          <w:color w:val="182030"/>
          <w:sz w:val="22"/>
          <w:szCs w:val="22"/>
        </w:rPr>
        <w:t xml:space="preserve">Beta tenant: alert goes to Beta's recipient only - no cross-tenant leakage.</w:t>
      </w:r>
    </w:p>
    <w:p>
      <w:pPr>
        <w:pStyle w:val="Heading1"/>
        <w:spacing w:after="140" w:before="360" w:line="312"/>
      </w:pPr>
      <w:r>
        <w:rPr>
          <w:rFonts w:ascii="Calibri" w:eastAsia="Microsoft YaHei"/>
          <w:b/>
          <w:bCs/>
          <w:color w:val="1A2330"/>
          <w:sz w:val="30"/>
          <w:szCs w:val="30"/>
        </w:rPr>
        <w:t xml:space="preserve">4. Fallback Ladder</w:t>
      </w:r>
    </w:p>
    <w:p>
      <w:pPr>
        <w:keepNext/>
        <w:spacing w:after="80" w:before="160" w:line="312"/>
      </w:pPr>
      <w:r>
        <w:rPr>
          <w:rFonts w:ascii="Calibri" w:eastAsia="Microsoft YaHei"/>
          <w:b/>
          <w:bCs/>
          <w:color w:val="506070"/>
          <w:sz w:val="21"/>
          <w:szCs w:val="21"/>
        </w:rPr>
        <w:t xml:space="preserve">Table 4.1 - If Gmail disappoints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Pr>
      <w:tblGrid>
        <w:gridCol w:w="100"/>
        <w:gridCol w:w="100"/>
      </w:tblGrid>
      <w:tr>
        <w:trPr>
          <w:cantSplit/>
          <w:tblHeader/>
        </w:trPr>
        <w:tc>
          <w:tcPr>
            <w:tcW w:type="pct" w:w="34%"/>
            <w:shd w:fill="D4875A" w:val="clear"/>
            <w:tcMar>
              <w:top w:type="dxa" w:w="70"/>
              <w:left w:type="dxa" w:w="120"/>
              <w:bottom w:type="dxa" w:w="70"/>
              <w:right w:type="dxa" w:w="120"/>
            </w:tcMar>
          </w:tcPr>
          <w:p>
            <w:pPr>
              <w:spacing w:line="276"/>
            </w:pPr>
            <w:r>
              <w:rPr>
                <w:rFonts w:ascii="Calibri" w:eastAsia="Microsoft YaHei"/>
                <w:b/>
                <w:bCs/>
                <w:color w:val="FFFFFF"/>
                <w:sz w:val="20"/>
                <w:szCs w:val="20"/>
              </w:rPr>
              <w:t xml:space="preserve">Situation</w:t>
            </w:r>
          </w:p>
        </w:tc>
        <w:tc>
          <w:tcPr>
            <w:tcW w:type="pct" w:w="66%"/>
            <w:shd w:fill="D4875A" w:val="clear"/>
            <w:tcMar>
              <w:top w:type="dxa" w:w="70"/>
              <w:left w:type="dxa" w:w="120"/>
              <w:bottom w:type="dxa" w:w="70"/>
              <w:right w:type="dxa" w:w="120"/>
            </w:tcMar>
          </w:tcPr>
          <w:p>
            <w:pPr>
              <w:spacing w:line="276"/>
            </w:pPr>
            <w:r>
              <w:rPr>
                <w:rFonts w:ascii="Calibri" w:eastAsia="Microsoft YaHei"/>
                <w:b/>
                <w:bCs/>
                <w:color w:val="FFFFFF"/>
                <w:sz w:val="20"/>
                <w:szCs w:val="20"/>
              </w:rPr>
              <w:t xml:space="preserve">Fallback</w:t>
            </w:r>
          </w:p>
        </w:tc>
      </w:tr>
      <w:tr>
        <w:trPr>
          <w:cantSplit/>
        </w:trPr>
        <w:tc>
          <w:tcPr>
            <w:tcW w:type="pct" w:w="34%"/>
            <w:tcMar>
              <w:top w:type="dxa" w:w="60"/>
              <w:left w:type="dxa" w:w="120"/>
              <w:bottom w:type="dxa" w:w="60"/>
              <w:right w:type="dxa" w:w="120"/>
            </w:tcMar>
          </w:tcPr>
          <w:p>
            <w:pPr>
              <w:spacing w:line="276"/>
            </w:pPr>
            <w:r>
              <w:rPr>
                <w:rFonts w:ascii="Calibri" w:eastAsia="Microsoft YaHei"/>
                <w:color w:val="182030"/>
                <w:sz w:val="20"/>
                <w:szCs w:val="20"/>
              </w:rPr>
              <w:t xml:space="preserve">OAuth rejected / scopes missing</w:t>
            </w:r>
          </w:p>
        </w:tc>
        <w:tc>
          <w:tcPr>
            <w:tcW w:type="pct" w:w="66%"/>
            <w:tcMar>
              <w:top w:type="dxa" w:w="60"/>
              <w:left w:type="dxa" w:w="120"/>
              <w:bottom w:type="dxa" w:w="60"/>
              <w:right w:type="dxa" w:w="120"/>
            </w:tcMar>
          </w:tcPr>
          <w:p>
            <w:pPr>
              <w:spacing w:line="276"/>
            </w:pPr>
            <w:r>
              <w:rPr>
                <w:rFonts w:ascii="Calibri" w:eastAsia="Microsoft YaHei"/>
                <w:color w:val="182030"/>
                <w:sz w:val="20"/>
                <w:szCs w:val="20"/>
              </w:rPr>
              <w:t xml:space="preserve">Document as bug #9 in docs/bug-reports.md, then use Outlook Mail (8ad1274d-7474-47e9-98bf-b88fe66d348f) or Mailgun (b5ee310b-4867-46bb-993c-9dc6a2c18636) - same plan, different connector id.</w:t>
            </w:r>
          </w:p>
        </w:tc>
      </w:tr>
      <w:tr>
        <w:trPr>
          <w:cantSplit/>
        </w:trPr>
        <w:tc>
          <w:tcPr>
            <w:tcW w:type="pct" w:w="34%"/>
            <w:tcMar>
              <w:top w:type="dxa" w:w="60"/>
              <w:left w:type="dxa" w:w="120"/>
              <w:bottom w:type="dxa" w:w="60"/>
              <w:right w:type="dxa" w:w="120"/>
            </w:tcMar>
          </w:tcPr>
          <w:p>
            <w:pPr>
              <w:spacing w:line="276"/>
            </w:pPr>
            <w:r>
              <w:rPr>
                <w:rFonts w:ascii="Calibri" w:eastAsia="Microsoft YaHei"/>
                <w:color w:val="182030"/>
                <w:sz w:val="20"/>
                <w:szCs w:val="20"/>
              </w:rPr>
              <w:t xml:space="preserve">sendMessage name wrong</w:t>
            </w:r>
          </w:p>
        </w:tc>
        <w:tc>
          <w:tcPr>
            <w:tcW w:type="pct" w:w="66%"/>
            <w:tcMar>
              <w:top w:type="dxa" w:w="60"/>
              <w:left w:type="dxa" w:w="120"/>
              <w:bottom w:type="dxa" w:w="60"/>
              <w:right w:type="dxa" w:w="120"/>
            </w:tcMar>
          </w:tcPr>
          <w:p>
            <w:pPr>
              <w:spacing w:line="276"/>
            </w:pPr>
            <w:r>
              <w:rPr>
                <w:rFonts w:ascii="Calibri" w:eastAsia="Microsoft YaHei"/>
                <w:color w:val="182030"/>
                <w:sz w:val="20"/>
                <w:szCs w:val="20"/>
              </w:rPr>
              <w:t xml:space="preserve">Read getConnectorMethods detail; try sendDraft after createDraft; the trace records the failure without breaking anything.</w:t>
            </w:r>
          </w:p>
        </w:tc>
      </w:tr>
      <w:tr>
        <w:trPr>
          <w:cantSplit/>
        </w:trPr>
        <w:tc>
          <w:tcPr>
            <w:tcW w:type="pct" w:w="34%"/>
            <w:tcMar>
              <w:top w:type="dxa" w:w="60"/>
              <w:left w:type="dxa" w:w="120"/>
              <w:bottom w:type="dxa" w:w="60"/>
              <w:right w:type="dxa" w:w="120"/>
            </w:tcMar>
          </w:tcPr>
          <w:p>
            <w:pPr>
              <w:spacing w:line="276"/>
            </w:pPr>
            <w:r>
              <w:rPr>
                <w:rFonts w:ascii="Calibri" w:eastAsia="Microsoft YaHei"/>
                <w:color w:val="182030"/>
                <w:sz w:val="20"/>
                <w:szCs w:val="20"/>
              </w:rPr>
              <w:t xml:space="preserve">Create rate-limited (429)</w:t>
            </w:r>
          </w:p>
        </w:tc>
        <w:tc>
          <w:tcPr>
            <w:tcW w:type="pct" w:w="66%"/>
            <w:tcMar>
              <w:top w:type="dxa" w:w="60"/>
              <w:left w:type="dxa" w:w="120"/>
              <w:bottom w:type="dxa" w:w="60"/>
              <w:right w:type="dxa" w:w="120"/>
            </w:tcMar>
          </w:tcPr>
          <w:p>
            <w:pPr>
              <w:spacing w:line="276"/>
            </w:pPr>
            <w:r>
              <w:rPr>
                <w:rFonts w:ascii="Calibri" w:eastAsia="Microsoft YaHei"/>
                <w:color w:val="182030"/>
                <w:sz w:val="20"/>
                <w:szCs w:val="20"/>
              </w:rPr>
              <w:t xml:space="preserve">Wait for the hourly window; v2 keeps serving the demo meanwhile - the feature is purely additive.</w:t>
            </w:r>
          </w:p>
        </w:tc>
      </w:tr>
      <w:tr>
        <w:trPr>
          <w:cantSplit/>
        </w:trPr>
        <w:tc>
          <w:tcPr>
            <w:tcW w:type="pct" w:w="34%"/>
            <w:tcMar>
              <w:top w:type="dxa" w:w="60"/>
              <w:left w:type="dxa" w:w="120"/>
              <w:bottom w:type="dxa" w:w="60"/>
              <w:right w:type="dxa" w:w="120"/>
            </w:tcMar>
          </w:tcPr>
          <w:p>
            <w:pPr>
              <w:spacing w:line="276"/>
            </w:pPr>
            <w:r>
              <w:rPr>
                <w:rFonts w:ascii="Calibri" w:eastAsia="Microsoft YaHei"/>
                <w:color w:val="182030"/>
                <w:sz w:val="20"/>
                <w:szCs w:val="20"/>
              </w:rPr>
              <w:t xml:space="preserve">No delivery webhook</w:t>
            </w:r>
          </w:p>
        </w:tc>
        <w:tc>
          <w:tcPr>
            <w:tcW w:type="pct" w:w="66%"/>
            <w:tcMar>
              <w:top w:type="dxa" w:w="60"/>
              <w:left w:type="dxa" w:w="120"/>
              <w:bottom w:type="dxa" w:w="60"/>
              <w:right w:type="dxa" w:w="120"/>
            </w:tcMar>
          </w:tcPr>
          <w:p>
            <w:pPr>
              <w:spacing w:line="276"/>
            </w:pPr>
            <w:r>
              <w:rPr>
                <w:rFonts w:ascii="Calibri" w:eastAsia="Microsoft YaHei"/>
                <w:color w:val="182030"/>
                <w:sz w:val="20"/>
                <w:szCs w:val="20"/>
              </w:rPr>
              <w:t xml:space="preserve">Already assumed: sent-&gt;delivered is time-based simulation on the app side. State it honestly in the UI.</w:t>
            </w:r>
          </w:p>
        </w:tc>
      </w:tr>
    </w:tbl>
    <w:p>
      <w:pPr>
        <w:pStyle w:val="Heading1"/>
        <w:spacing w:after="140" w:before="360" w:line="312"/>
      </w:pPr>
      <w:r>
        <w:rPr>
          <w:rFonts w:ascii="Calibri" w:eastAsia="Microsoft YaHei"/>
          <w:b/>
          <w:bCs/>
          <w:color w:val="1A2330"/>
          <w:sz w:val="30"/>
          <w:szCs w:val="30"/>
        </w:rPr>
        <w:t xml:space="preserve">5. Cost and Credit Notes</w:t>
      </w:r>
    </w:p>
    <w:p>
      <w:pPr>
        <w:pStyle w:val="ListParagraph"/>
        <w:numPr>
          <w:ilvl w:val="0"/>
          <w:numId w:val="1"/>
        </w:numPr>
        <w:spacing w:after="60" w:line="312"/>
      </w:pPr>
      <w:r>
        <w:rPr>
          <w:rFonts w:ascii="Calibri" w:eastAsia="Microsoft YaHei"/>
          <w:b w:val="false"/>
          <w:bCs w:val="false"/>
          <w:color w:val="182030"/>
          <w:sz w:val="22"/>
          <w:szCs w:val="22"/>
        </w:rPr>
        <w:t xml:space="preserve">Each risk-engine run consumes Fastn execution credits (the workspace has ~500). The email step adds one connector call per anomaly - negligible.</w:t>
      </w:r>
    </w:p>
    <w:p>
      <w:pPr>
        <w:pStyle w:val="ListParagraph"/>
        <w:numPr>
          <w:ilvl w:val="0"/>
          <w:numId w:val="1"/>
        </w:numPr>
        <w:spacing w:after="60" w:line="312"/>
      </w:pPr>
      <w:r>
        <w:rPr>
          <w:rFonts w:ascii="Calibri" w:eastAsia="Microsoft YaHei"/>
          <w:b w:val="false"/>
          <w:bCs w:val="false"/>
          <w:color w:val="182030"/>
          <w:sz w:val="22"/>
          <w:szCs w:val="22"/>
        </w:rPr>
        <w:t xml:space="preserve">Gmail sending quota is ~500/day on a consumer account - far beyond demo needs.</w:t>
      </w:r>
    </w:p>
    <w:p>
      <w:pPr>
        <w:pStyle w:val="ListParagraph"/>
        <w:numPr>
          <w:ilvl w:val="0"/>
          <w:numId w:val="1"/>
        </w:numPr>
        <w:spacing w:after="60" w:line="312"/>
      </w:pPr>
      <w:r>
        <w:rPr>
          <w:rFonts w:ascii="Calibri" w:eastAsia="Microsoft YaHei"/>
          <w:b w:val="false"/>
          <w:bCs w:val="false"/>
          <w:color w:val="182030"/>
          <w:sz w:val="22"/>
          <w:szCs w:val="22"/>
        </w:rPr>
        <w:t xml:space="preserve">Rotate the fsk_live_ key before submission day (it was shared in chat); update .env.local and Vercel.</w:t>
      </w:r>
    </w:p>
    <w:sectPr>
      <w:headerReference w:type="default" r:id="rId7"/>
      <w:footerReference w:type="default" r:id="rId8"/>
      <w:pgSz w:w="11906" w:h="16838"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9AA6B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0C8" w:sz="2" w:space="4"/>
      </w:pBdr>
      <w:jc w:val="right"/>
    </w:pPr>
    <w:r>
      <w:rPr>
        <w:rFonts w:ascii="Calibri" w:eastAsia="Microsoft YaHei"/>
        <w:color w:val="9AA6B2"/>
        <w:sz w:val="16"/>
        <w:szCs w:val="16"/>
      </w:rPr>
      <w:t xml:space="preserve">PulseGuard Handoff - 2. Gmail Email Channel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8203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60" w:line="312"/>
    </w:pPr>
    <w:rPr>
      <w:rFonts w:ascii="Calibri" w:eastAsia="Microsoft YaHei"/>
      <w:b/>
      <w:bCs/>
      <w:color w:val="1A2330"/>
      <w:sz w:val="30"/>
      <w:szCs w:val="30"/>
    </w:rPr>
  </w:style>
  <w:style w:type="paragraph" w:styleId="Heading2">
    <w:name w:val="Heading 2"/>
    <w:basedOn w:val="Normal"/>
    <w:next w:val="Normal"/>
    <w:qFormat/>
    <w:pPr>
      <w:spacing w:after="110" w:before="240" w:line="312"/>
    </w:pPr>
    <w:rPr>
      <w:rFonts w:ascii="Calibri" w:eastAsia="Microsoft YaHei"/>
      <w:b/>
      <w:bCs/>
      <w:color w:val="1A2330"/>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2026-09-20T01:15:01.480Z</dcterms:created>
  <dcterms:modified xsi:type="dcterms:W3CDTF">2026-09-20T01:15:01.488Z</dcterms:modified>
</cp:coreProperties>
</file>

<file path=docProps/custom.xml><?xml version="1.0" encoding="utf-8"?>
<Properties xmlns="http://schemas.openxmlformats.org/officeDocument/2006/custom-properties" xmlns:vt="http://schemas.openxmlformats.org/officeDocument/2006/docPropsVTypes"/>
</file>