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8A924" w14:textId="6BA99CDB" w:rsidR="004156A6" w:rsidRDefault="00752C8F">
      <w:pPr>
        <w:rPr>
          <w:lang w:val="en-US"/>
        </w:rPr>
      </w:pPr>
      <w:r>
        <w:rPr>
          <w:lang w:val="en-US"/>
        </w:rPr>
        <w:t xml:space="preserve">Project 4 Day 2 </w:t>
      </w:r>
    </w:p>
    <w:p w14:paraId="71979412" w14:textId="77777777" w:rsidR="000036BB" w:rsidRDefault="000036BB" w:rsidP="000036BB">
      <w:pPr>
        <w:pStyle w:val="Heading3"/>
        <w:rPr>
          <w:lang w:val="en-US"/>
        </w:rPr>
      </w:pPr>
      <w:r>
        <w:rPr>
          <w:lang w:val="en-US"/>
        </w:rPr>
        <w:t>Business Question 1:</w:t>
      </w:r>
    </w:p>
    <w:p w14:paraId="5F18765E" w14:textId="77777777" w:rsidR="000036BB" w:rsidRDefault="000036BB" w:rsidP="000036BB">
      <w:pPr>
        <w:rPr>
          <w:lang w:val="en-US"/>
        </w:rPr>
      </w:pPr>
      <w:r>
        <w:rPr>
          <w:lang w:val="en-US"/>
        </w:rPr>
        <w:t xml:space="preserve">Query 1: Total Revenue </w:t>
      </w:r>
    </w:p>
    <w:p w14:paraId="7C97BC31" w14:textId="77777777" w:rsidR="000036BB" w:rsidRDefault="000036BB" w:rsidP="000036BB">
      <w:pPr>
        <w:rPr>
          <w:lang w:val="en-US"/>
        </w:rPr>
      </w:pPr>
      <w:r w:rsidRPr="00397872">
        <w:rPr>
          <w:noProof/>
          <w:lang w:val="en-US"/>
        </w:rPr>
        <w:drawing>
          <wp:inline distT="0" distB="0" distL="0" distR="0" wp14:anchorId="7785E89C" wp14:editId="6739904C">
            <wp:extent cx="1568531" cy="425472"/>
            <wp:effectExtent l="0" t="0" r="0" b="0"/>
            <wp:docPr id="828373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3732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68531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BAB32" w14:textId="77777777" w:rsidR="000036BB" w:rsidRPr="000036BB" w:rsidRDefault="000036BB" w:rsidP="000036BB">
      <w:r w:rsidRPr="000036BB">
        <w:t xml:space="preserve">The analysis shows that </w:t>
      </w:r>
      <w:proofErr w:type="spellStart"/>
      <w:r w:rsidRPr="000036BB">
        <w:t>UrbanShift</w:t>
      </w:r>
      <w:proofErr w:type="spellEnd"/>
      <w:r w:rsidRPr="000036BB">
        <w:t xml:space="preserve"> generated approximately £491,881 in revenue over the nine-month analysis period.</w:t>
      </w:r>
    </w:p>
    <w:p w14:paraId="14837FB3" w14:textId="77777777" w:rsidR="000036BB" w:rsidRPr="00FE0059" w:rsidRDefault="000036BB" w:rsidP="000036BB">
      <w:pPr>
        <w:rPr>
          <w:lang w:val="en-US"/>
        </w:rPr>
      </w:pPr>
    </w:p>
    <w:p w14:paraId="13C6A409" w14:textId="77777777" w:rsidR="000036BB" w:rsidRDefault="000036BB" w:rsidP="000036BB">
      <w:pPr>
        <w:rPr>
          <w:lang w:val="en-US"/>
        </w:rPr>
      </w:pPr>
      <w:r>
        <w:rPr>
          <w:lang w:val="en-US"/>
        </w:rPr>
        <w:t xml:space="preserve">Query 2: Revenue by Customer </w:t>
      </w:r>
    </w:p>
    <w:p w14:paraId="587A2E14" w14:textId="77777777" w:rsidR="000036BB" w:rsidRDefault="000036BB" w:rsidP="000036BB">
      <w:pPr>
        <w:rPr>
          <w:lang w:val="en-US"/>
        </w:rPr>
      </w:pPr>
      <w:r w:rsidRPr="00397872">
        <w:rPr>
          <w:noProof/>
          <w:lang w:val="en-US"/>
        </w:rPr>
        <w:drawing>
          <wp:inline distT="0" distB="0" distL="0" distR="0" wp14:anchorId="2661958B" wp14:editId="08B2B87C">
            <wp:extent cx="5731510" cy="1572260"/>
            <wp:effectExtent l="0" t="0" r="2540" b="8890"/>
            <wp:docPr id="870713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7139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68942" w14:textId="77777777" w:rsidR="000036BB" w:rsidRDefault="000036BB" w:rsidP="000036BB">
      <w:r w:rsidRPr="009A526E">
        <w:t>Jade Trading Ltd</w:t>
      </w:r>
      <w:r>
        <w:t xml:space="preserve"> and</w:t>
      </w:r>
      <w:r w:rsidRPr="009A526E">
        <w:t xml:space="preserve"> Iris Hub Ltd generating the highest total revenue. These customers also account for a large proportion of delivery activity.</w:t>
      </w:r>
      <w:r>
        <w:t xml:space="preserve"> </w:t>
      </w:r>
      <w:r w:rsidRPr="009A526E">
        <w:t xml:space="preserve">This suggests </w:t>
      </w:r>
      <w:proofErr w:type="spellStart"/>
      <w:r w:rsidRPr="009A526E">
        <w:t>UrbanShift</w:t>
      </w:r>
      <w:proofErr w:type="spellEnd"/>
      <w:r w:rsidRPr="009A526E">
        <w:t xml:space="preserve"> relies heavily on a small number of key customer accounts. Losing even one of these customers could have a significant impact on business performance.</w:t>
      </w:r>
    </w:p>
    <w:p w14:paraId="470C9A91" w14:textId="77777777" w:rsidR="000036BB" w:rsidRPr="00B07EF2" w:rsidRDefault="000036BB" w:rsidP="000036BB">
      <w:r w:rsidRPr="001912F3">
        <w:t>Revenue per delivery remains relatively consistent across the highest-value customers</w:t>
      </w:r>
      <w:r>
        <w:t xml:space="preserve">, </w:t>
      </w:r>
      <w:r w:rsidRPr="001912F3">
        <w:t>suggesting that differences in revenue are primarily driven by delivery volume rather than higher-value deliveries.</w:t>
      </w:r>
    </w:p>
    <w:p w14:paraId="4992949A" w14:textId="77777777" w:rsidR="000036BB" w:rsidRPr="00FE0059" w:rsidRDefault="000036BB" w:rsidP="000036BB">
      <w:pPr>
        <w:rPr>
          <w:lang w:val="en-US"/>
        </w:rPr>
      </w:pPr>
    </w:p>
    <w:p w14:paraId="175BAF51" w14:textId="77777777" w:rsidR="000036BB" w:rsidRPr="00F2329B" w:rsidRDefault="000036BB" w:rsidP="000036BB">
      <w:pPr>
        <w:rPr>
          <w:lang w:val="en-US"/>
        </w:rPr>
      </w:pPr>
      <w:r w:rsidRPr="00F2329B">
        <w:rPr>
          <w:lang w:val="en-US"/>
        </w:rPr>
        <w:t xml:space="preserve">Query 3: Revenue by Customer </w:t>
      </w:r>
      <w:r>
        <w:rPr>
          <w:lang w:val="en-US"/>
        </w:rPr>
        <w:t xml:space="preserve">Size </w:t>
      </w:r>
      <w:r w:rsidRPr="00F2329B">
        <w:rPr>
          <w:lang w:val="en-US"/>
        </w:rPr>
        <w:t>Segment</w:t>
      </w:r>
    </w:p>
    <w:p w14:paraId="319C8F9F" w14:textId="77777777" w:rsidR="000036BB" w:rsidRDefault="000036BB" w:rsidP="000036BB">
      <w:pPr>
        <w:rPr>
          <w:lang w:val="en-US"/>
        </w:rPr>
      </w:pPr>
      <w:r w:rsidRPr="00397872">
        <w:rPr>
          <w:noProof/>
          <w:lang w:val="en-US"/>
        </w:rPr>
        <w:drawing>
          <wp:inline distT="0" distB="0" distL="0" distR="0" wp14:anchorId="4B5C2F5C" wp14:editId="2A91ACBF">
            <wp:extent cx="5731510" cy="614680"/>
            <wp:effectExtent l="0" t="0" r="2540" b="0"/>
            <wp:docPr id="843653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6536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E8853" w14:textId="77777777" w:rsidR="000036BB" w:rsidRPr="0090600C" w:rsidRDefault="000036BB" w:rsidP="000036BB">
      <w:r w:rsidRPr="0090600C">
        <w:t>Mid-size retailers generated the highest overall revenue (£201,492.94), followed by Large Accounts (£187,370.05). However, Large Accounts generated substantially higher revenue per customer (£37,474.01), reflecting their higher individual commercial value despite representing only five customers.</w:t>
      </w:r>
    </w:p>
    <w:p w14:paraId="2000AF85" w14:textId="77777777" w:rsidR="000036BB" w:rsidRPr="0090600C" w:rsidRDefault="000036BB" w:rsidP="000036BB">
      <w:r w:rsidRPr="0090600C">
        <w:t>This indicates that while mid-size retailers collectively contribute most revenue, retaining large accounts remains commercially critical.</w:t>
      </w:r>
    </w:p>
    <w:p w14:paraId="555A5336" w14:textId="77777777" w:rsidR="000036BB" w:rsidRPr="001912F3" w:rsidRDefault="000036BB" w:rsidP="000036BB"/>
    <w:p w14:paraId="05372CEA" w14:textId="77777777" w:rsidR="000036BB" w:rsidRPr="00F2329B" w:rsidRDefault="000036BB" w:rsidP="000036BB">
      <w:pPr>
        <w:rPr>
          <w:lang w:val="en-US"/>
        </w:rPr>
      </w:pPr>
      <w:r w:rsidRPr="00F2329B">
        <w:rPr>
          <w:lang w:val="en-US"/>
        </w:rPr>
        <w:t xml:space="preserve">Query 4: Revenue by Industry </w:t>
      </w:r>
    </w:p>
    <w:p w14:paraId="5FCC04F4" w14:textId="77777777" w:rsidR="000036BB" w:rsidRDefault="000036BB" w:rsidP="000036BB">
      <w:pPr>
        <w:rPr>
          <w:lang w:val="en-US"/>
        </w:rPr>
      </w:pPr>
      <w:r w:rsidRPr="00397872">
        <w:rPr>
          <w:noProof/>
          <w:lang w:val="en-US"/>
        </w:rPr>
        <w:lastRenderedPageBreak/>
        <w:drawing>
          <wp:inline distT="0" distB="0" distL="0" distR="0" wp14:anchorId="319CEA70" wp14:editId="6BDA965D">
            <wp:extent cx="5731510" cy="1168400"/>
            <wp:effectExtent l="0" t="0" r="2540" b="0"/>
            <wp:docPr id="662943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9430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6DEC8" w14:textId="77777777" w:rsidR="000036BB" w:rsidRPr="006D438F" w:rsidRDefault="000036BB" w:rsidP="000036BB">
      <w:r w:rsidRPr="006D438F">
        <w:t xml:space="preserve">The Fashion industry </w:t>
      </w:r>
      <w:r w:rsidRPr="00E81A8C">
        <w:t>contributes 40.25% of</w:t>
      </w:r>
      <w:r w:rsidRPr="006D438F">
        <w:t xml:space="preserve"> total revenue, significantly exceeding every other sector. Food &amp; Drink contributes 17%, while Electronics contributes 11.6%.</w:t>
      </w:r>
    </w:p>
    <w:p w14:paraId="23FD65D7" w14:textId="77777777" w:rsidR="000036BB" w:rsidRPr="006D438F" w:rsidRDefault="000036BB" w:rsidP="000036BB">
      <w:r w:rsidRPr="006D438F">
        <w:t xml:space="preserve">This indicates that </w:t>
      </w:r>
      <w:proofErr w:type="spellStart"/>
      <w:r w:rsidRPr="006D438F">
        <w:t>UrbanShift</w:t>
      </w:r>
      <w:proofErr w:type="spellEnd"/>
      <w:r w:rsidRPr="006D438F">
        <w:t xml:space="preserve"> is heavily dependent upon the Fashion sector, making performance within this industry particularly important for overall business success.</w:t>
      </w:r>
    </w:p>
    <w:p w14:paraId="4B38B203" w14:textId="77777777" w:rsidR="000036BB" w:rsidRPr="00397872" w:rsidRDefault="000036BB" w:rsidP="000036BB">
      <w:pPr>
        <w:rPr>
          <w:lang w:val="en-US"/>
        </w:rPr>
      </w:pPr>
    </w:p>
    <w:p w14:paraId="5911ECD0" w14:textId="77777777" w:rsidR="000036BB" w:rsidRPr="00F2329B" w:rsidRDefault="000036BB" w:rsidP="000036BB">
      <w:pPr>
        <w:rPr>
          <w:lang w:val="en-US"/>
        </w:rPr>
      </w:pPr>
      <w:r w:rsidRPr="00F2329B">
        <w:rPr>
          <w:lang w:val="en-US"/>
        </w:rPr>
        <w:t>Query 5: Revenue by City</w:t>
      </w:r>
    </w:p>
    <w:p w14:paraId="38471630" w14:textId="77777777" w:rsidR="000036BB" w:rsidRDefault="000036BB" w:rsidP="000036BB">
      <w:pPr>
        <w:spacing w:line="276" w:lineRule="auto"/>
        <w:rPr>
          <w:lang w:val="en-US"/>
        </w:rPr>
      </w:pPr>
      <w:r w:rsidRPr="00397872">
        <w:rPr>
          <w:noProof/>
          <w:lang w:val="en-US"/>
        </w:rPr>
        <w:drawing>
          <wp:inline distT="0" distB="0" distL="0" distR="0" wp14:anchorId="3BC75928" wp14:editId="69B4389B">
            <wp:extent cx="4610337" cy="1378021"/>
            <wp:effectExtent l="0" t="0" r="0" b="0"/>
            <wp:docPr id="1047185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1856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0337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B0EF9" w14:textId="77777777" w:rsidR="000036BB" w:rsidRPr="008749DB" w:rsidRDefault="000036BB" w:rsidP="000036BB">
      <w:pPr>
        <w:spacing w:line="276" w:lineRule="auto"/>
      </w:pPr>
      <w:r w:rsidRPr="008749DB">
        <w:t>London generates the highest revenue (£231,169.77), representing almost half of total company revenue. Manchester ranks second, followed by Birmingham, Bristol, Leeds and Glasgow.</w:t>
      </w:r>
    </w:p>
    <w:p w14:paraId="00EA30A4" w14:textId="77777777" w:rsidR="000036BB" w:rsidRPr="0016401E" w:rsidRDefault="000036BB" w:rsidP="000036BB">
      <w:pPr>
        <w:spacing w:line="276" w:lineRule="auto"/>
      </w:pPr>
      <w:r w:rsidRPr="008749DB">
        <w:t>This largely reflects delivery volume rather than operational efficiency, as London also records the largest number of deliveries.</w:t>
      </w:r>
    </w:p>
    <w:p w14:paraId="3358B050" w14:textId="77777777" w:rsidR="000036BB" w:rsidRPr="00397872" w:rsidRDefault="000036BB" w:rsidP="000036BB">
      <w:pPr>
        <w:spacing w:line="276" w:lineRule="auto"/>
        <w:rPr>
          <w:lang w:val="en-US"/>
        </w:rPr>
      </w:pPr>
    </w:p>
    <w:p w14:paraId="6C70B165" w14:textId="77777777" w:rsidR="000036BB" w:rsidRDefault="000036BB" w:rsidP="000036BB">
      <w:pPr>
        <w:rPr>
          <w:lang w:val="en-US"/>
        </w:rPr>
      </w:pPr>
      <w:r>
        <w:rPr>
          <w:lang w:val="en-US"/>
        </w:rPr>
        <w:t xml:space="preserve">Query 6: Monthly Revenue Trend </w:t>
      </w:r>
    </w:p>
    <w:p w14:paraId="7227E558" w14:textId="77777777" w:rsidR="000036BB" w:rsidRDefault="000036BB" w:rsidP="000036BB">
      <w:pPr>
        <w:rPr>
          <w:lang w:val="en-US"/>
        </w:rPr>
      </w:pPr>
      <w:r w:rsidRPr="00397872">
        <w:rPr>
          <w:noProof/>
          <w:lang w:val="en-US"/>
        </w:rPr>
        <w:drawing>
          <wp:inline distT="0" distB="0" distL="0" distR="0" wp14:anchorId="41EC93C9" wp14:editId="2BEE5B11">
            <wp:extent cx="4616687" cy="1911448"/>
            <wp:effectExtent l="0" t="0" r="0" b="0"/>
            <wp:docPr id="2110992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9926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65627" w14:textId="77777777" w:rsidR="000036BB" w:rsidRPr="001A3B69" w:rsidRDefault="000036BB" w:rsidP="000036BB">
      <w:r w:rsidRPr="001A3B69">
        <w:t>Revenue remains relatively stable between October and December before declining noticeably during January, followed by a gradual recovery during the remaining months.</w:t>
      </w:r>
    </w:p>
    <w:p w14:paraId="457419AB" w14:textId="77777777" w:rsidR="000036BB" w:rsidRPr="00A16D91" w:rsidRDefault="000036BB" w:rsidP="000036BB">
      <w:r w:rsidRPr="001A3B69">
        <w:t>This pattern suggests seasonal demand, likely influenced by increased parcel volumes during the Christmas trading period.</w:t>
      </w:r>
    </w:p>
    <w:p w14:paraId="12098692" w14:textId="77777777" w:rsidR="000036BB" w:rsidRPr="00397872" w:rsidRDefault="000036BB" w:rsidP="000036BB">
      <w:pPr>
        <w:rPr>
          <w:lang w:val="en-US"/>
        </w:rPr>
      </w:pPr>
    </w:p>
    <w:p w14:paraId="127C5387" w14:textId="77777777" w:rsidR="000036BB" w:rsidRDefault="000036BB" w:rsidP="000036BB">
      <w:pPr>
        <w:rPr>
          <w:lang w:val="en-US"/>
        </w:rPr>
      </w:pPr>
      <w:r>
        <w:rPr>
          <w:lang w:val="en-US"/>
        </w:rPr>
        <w:t xml:space="preserve">Query 7: Delivery Volume by Customer </w:t>
      </w:r>
    </w:p>
    <w:p w14:paraId="09A8B13B" w14:textId="77777777" w:rsidR="000036BB" w:rsidRDefault="000036BB" w:rsidP="000036BB">
      <w:pPr>
        <w:rPr>
          <w:lang w:val="en-US"/>
        </w:rPr>
      </w:pPr>
      <w:r w:rsidRPr="00397872">
        <w:rPr>
          <w:noProof/>
          <w:lang w:val="en-US"/>
        </w:rPr>
        <w:drawing>
          <wp:inline distT="0" distB="0" distL="0" distR="0" wp14:anchorId="722854DE" wp14:editId="104CC39C">
            <wp:extent cx="4654789" cy="1968601"/>
            <wp:effectExtent l="0" t="0" r="0" b="0"/>
            <wp:docPr id="1922767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7676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19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3CCF9" w14:textId="77777777" w:rsidR="000036BB" w:rsidRDefault="000036BB" w:rsidP="000036BB">
      <w:pPr>
        <w:rPr>
          <w:lang w:val="en-US"/>
        </w:rPr>
      </w:pPr>
      <w:r w:rsidRPr="00AD3434">
        <w:t>The highest delivery volumes are generated by the same customers producing the highest revenue, indicating a strong positive relationship between delivery activity and revenue generation.</w:t>
      </w:r>
    </w:p>
    <w:p w14:paraId="51FB2A32" w14:textId="77777777" w:rsidR="000036BB" w:rsidRPr="00397872" w:rsidRDefault="000036BB" w:rsidP="000036BB">
      <w:pPr>
        <w:rPr>
          <w:lang w:val="en-US"/>
        </w:rPr>
      </w:pPr>
    </w:p>
    <w:p w14:paraId="2B8EB3C8" w14:textId="77777777" w:rsidR="000036BB" w:rsidRPr="00F1432C" w:rsidRDefault="000036BB" w:rsidP="000036BB">
      <w:pPr>
        <w:pStyle w:val="Heading3"/>
        <w:rPr>
          <w:lang w:val="en-US"/>
        </w:rPr>
      </w:pPr>
      <w:r>
        <w:rPr>
          <w:lang w:val="en-US"/>
        </w:rPr>
        <w:t xml:space="preserve">Business question 2 </w:t>
      </w:r>
    </w:p>
    <w:p w14:paraId="1C93BD8D" w14:textId="77777777" w:rsidR="000036BB" w:rsidRDefault="000036BB" w:rsidP="000036BB">
      <w:pPr>
        <w:rPr>
          <w:lang w:val="en-US"/>
        </w:rPr>
      </w:pPr>
      <w:r>
        <w:rPr>
          <w:lang w:val="en-US"/>
        </w:rPr>
        <w:t>Query 8: Overall Incident Rate</w:t>
      </w:r>
    </w:p>
    <w:p w14:paraId="20912BC0" w14:textId="77777777" w:rsidR="000036BB" w:rsidRDefault="000036BB" w:rsidP="000036BB">
      <w:pPr>
        <w:rPr>
          <w:lang w:val="en-US"/>
        </w:rPr>
      </w:pPr>
      <w:r w:rsidRPr="00A911C9">
        <w:rPr>
          <w:noProof/>
          <w:lang w:val="en-US"/>
        </w:rPr>
        <w:drawing>
          <wp:inline distT="0" distB="0" distL="0" distR="0" wp14:anchorId="6BF8EDFE" wp14:editId="47CF1D90">
            <wp:extent cx="4616687" cy="425472"/>
            <wp:effectExtent l="0" t="0" r="0" b="0"/>
            <wp:docPr id="2032103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1036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822F0" w14:textId="77777777" w:rsidR="000036BB" w:rsidRPr="007B318A" w:rsidRDefault="000036BB" w:rsidP="000036BB">
      <w:proofErr w:type="spellStart"/>
      <w:r w:rsidRPr="007B318A">
        <w:t>UrbanShift</w:t>
      </w:r>
      <w:proofErr w:type="spellEnd"/>
      <w:r w:rsidRPr="007B318A">
        <w:t xml:space="preserve"> recorded 22.81% of deliveries with an associated incident. This means approximately one in every four deliveries experiences some form of operational issue.</w:t>
      </w:r>
    </w:p>
    <w:p w14:paraId="7671483F" w14:textId="77777777" w:rsidR="000036BB" w:rsidRPr="007B318A" w:rsidRDefault="000036BB" w:rsidP="000036BB">
      <w:r w:rsidRPr="007B318A">
        <w:t>Although the majority of deliveries are completed successfully, the incident rate suggests operational performance should be a key focus area.</w:t>
      </w:r>
    </w:p>
    <w:p w14:paraId="72ED8ADA" w14:textId="77777777" w:rsidR="000036BB" w:rsidRPr="00397872" w:rsidRDefault="000036BB" w:rsidP="000036BB">
      <w:pPr>
        <w:rPr>
          <w:lang w:val="en-US"/>
        </w:rPr>
      </w:pPr>
    </w:p>
    <w:p w14:paraId="1DF4B1AD" w14:textId="77777777" w:rsidR="000036BB" w:rsidRDefault="000036BB" w:rsidP="000036BB">
      <w:pPr>
        <w:rPr>
          <w:lang w:val="en-US"/>
        </w:rPr>
      </w:pPr>
      <w:r>
        <w:rPr>
          <w:lang w:val="en-US"/>
        </w:rPr>
        <w:t>Query 9: Incident Rate by City</w:t>
      </w:r>
    </w:p>
    <w:p w14:paraId="726912B8" w14:textId="77777777" w:rsidR="000036BB" w:rsidRDefault="000036BB" w:rsidP="000036BB">
      <w:pPr>
        <w:rPr>
          <w:lang w:val="en-US"/>
        </w:rPr>
      </w:pPr>
      <w:r w:rsidRPr="00A911C9">
        <w:rPr>
          <w:noProof/>
          <w:lang w:val="en-US"/>
        </w:rPr>
        <w:drawing>
          <wp:inline distT="0" distB="0" distL="0" distR="0" wp14:anchorId="6FADF38D" wp14:editId="7F656B0B">
            <wp:extent cx="5731510" cy="1302385"/>
            <wp:effectExtent l="0" t="0" r="2540" b="0"/>
            <wp:docPr id="167760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600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0084A" w14:textId="77777777" w:rsidR="000036BB" w:rsidRPr="007B318A" w:rsidRDefault="000036BB" w:rsidP="000036BB">
      <w:r w:rsidRPr="007B318A">
        <w:t>Manchester records the highest incident rate (25.45%), followed by Leeds (23.16%) and Bristol (22.83%). London, despite processing significantly more deliveries, records a slightly lower incident rate (22.60%).</w:t>
      </w:r>
    </w:p>
    <w:p w14:paraId="504AEB01" w14:textId="77777777" w:rsidR="000036BB" w:rsidRPr="007B318A" w:rsidRDefault="000036BB" w:rsidP="000036BB">
      <w:r w:rsidRPr="007B318A">
        <w:t>This suggests operational risk is not directly proportional to delivery volume and may instead be influenced by local operational factors.</w:t>
      </w:r>
    </w:p>
    <w:p w14:paraId="65266352" w14:textId="77777777" w:rsidR="000036BB" w:rsidRPr="00397872" w:rsidRDefault="000036BB" w:rsidP="000036BB">
      <w:pPr>
        <w:rPr>
          <w:lang w:val="en-US"/>
        </w:rPr>
      </w:pPr>
    </w:p>
    <w:p w14:paraId="0CBD3874" w14:textId="77777777" w:rsidR="000036BB" w:rsidRDefault="000036BB" w:rsidP="000036BB">
      <w:pPr>
        <w:rPr>
          <w:lang w:val="en-US"/>
        </w:rPr>
      </w:pPr>
      <w:r>
        <w:rPr>
          <w:lang w:val="en-US"/>
        </w:rPr>
        <w:t xml:space="preserve">Query 10: Incident Rate by employment Type </w:t>
      </w:r>
    </w:p>
    <w:p w14:paraId="271CA800" w14:textId="77777777" w:rsidR="000036BB" w:rsidRDefault="000036BB" w:rsidP="000036BB">
      <w:pPr>
        <w:rPr>
          <w:lang w:val="en-US"/>
        </w:rPr>
      </w:pPr>
      <w:r w:rsidRPr="00A911C9">
        <w:rPr>
          <w:noProof/>
          <w:lang w:val="en-US"/>
        </w:rPr>
        <w:drawing>
          <wp:inline distT="0" distB="0" distL="0" distR="0" wp14:anchorId="70C88AE4" wp14:editId="58853D72">
            <wp:extent cx="5731510" cy="779780"/>
            <wp:effectExtent l="0" t="0" r="2540" b="1270"/>
            <wp:docPr id="933403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4038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5DCE6" w14:textId="77777777" w:rsidR="000036BB" w:rsidRPr="004551C2" w:rsidRDefault="000036BB" w:rsidP="000036BB">
      <w:r w:rsidRPr="004551C2">
        <w:t>Contracted couriers recorded the highest incident rate (26.84%), considerably higher than employed couriers (15.25%). Deliveries without an assigned courier ID (subcontractors) recorded an intermediate incident rate of 22.25%.</w:t>
      </w:r>
    </w:p>
    <w:p w14:paraId="7AD04CE5" w14:textId="656D1461" w:rsidR="000036BB" w:rsidRPr="00290D93" w:rsidRDefault="000036BB" w:rsidP="000036BB">
      <w:r w:rsidRPr="004551C2">
        <w:t>This suggests employment type may have a significant influence on operational performance.</w:t>
      </w:r>
    </w:p>
    <w:p w14:paraId="2422EF6B" w14:textId="77777777" w:rsidR="000036BB" w:rsidRPr="00397872" w:rsidRDefault="000036BB" w:rsidP="000036BB">
      <w:pPr>
        <w:rPr>
          <w:lang w:val="en-US"/>
        </w:rPr>
      </w:pPr>
    </w:p>
    <w:p w14:paraId="6B47AA05" w14:textId="77777777" w:rsidR="000036BB" w:rsidRDefault="000036BB" w:rsidP="000036BB">
      <w:pPr>
        <w:rPr>
          <w:lang w:val="en-US"/>
        </w:rPr>
      </w:pPr>
      <w:r>
        <w:rPr>
          <w:lang w:val="en-US"/>
        </w:rPr>
        <w:t xml:space="preserve">Query 11: Incident Rate by Shift Pattern </w:t>
      </w:r>
    </w:p>
    <w:p w14:paraId="044578A8" w14:textId="77777777" w:rsidR="000036BB" w:rsidRDefault="000036BB" w:rsidP="000036BB">
      <w:pPr>
        <w:rPr>
          <w:lang w:val="en-US"/>
        </w:rPr>
      </w:pPr>
      <w:r w:rsidRPr="00A911C9">
        <w:rPr>
          <w:noProof/>
          <w:lang w:val="en-US"/>
        </w:rPr>
        <w:drawing>
          <wp:inline distT="0" distB="0" distL="0" distR="0" wp14:anchorId="0A93188E" wp14:editId="4821C6C5">
            <wp:extent cx="5731510" cy="1106170"/>
            <wp:effectExtent l="0" t="0" r="2540" b="0"/>
            <wp:docPr id="2053829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8291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2713C" w14:textId="77777777" w:rsidR="000036BB" w:rsidRPr="00AD462D" w:rsidRDefault="000036BB" w:rsidP="000036BB">
      <w:r w:rsidRPr="00AD462D">
        <w:t>Night shifts produced the highest incident rate (34.22%), almost double the incident rate observed during day shifts (17.08%).</w:t>
      </w:r>
    </w:p>
    <w:p w14:paraId="422F1171" w14:textId="77777777" w:rsidR="000036BB" w:rsidRPr="00AD462D" w:rsidRDefault="000036BB" w:rsidP="000036BB">
      <w:r w:rsidRPr="00AD462D">
        <w:t>This represents one of the strongest operational findings within the analysis and indicates shift pattern is strongly associated with operational risk.</w:t>
      </w:r>
    </w:p>
    <w:p w14:paraId="22BD05A0" w14:textId="77777777" w:rsidR="000036BB" w:rsidRPr="00397872" w:rsidRDefault="000036BB" w:rsidP="000036BB">
      <w:pPr>
        <w:rPr>
          <w:lang w:val="en-US"/>
        </w:rPr>
      </w:pPr>
    </w:p>
    <w:p w14:paraId="488DA257" w14:textId="77777777" w:rsidR="000036BB" w:rsidRDefault="000036BB" w:rsidP="000036BB">
      <w:pPr>
        <w:rPr>
          <w:lang w:val="en-US"/>
        </w:rPr>
      </w:pPr>
      <w:r>
        <w:rPr>
          <w:lang w:val="en-US"/>
        </w:rPr>
        <w:t>Query 12: Incident Type Distribution</w:t>
      </w:r>
    </w:p>
    <w:p w14:paraId="5B16BFBB" w14:textId="77777777" w:rsidR="000036BB" w:rsidRDefault="000036BB" w:rsidP="000036BB">
      <w:pPr>
        <w:rPr>
          <w:lang w:val="en-US"/>
        </w:rPr>
      </w:pPr>
      <w:r w:rsidRPr="00A911C9">
        <w:rPr>
          <w:noProof/>
          <w:lang w:val="en-US"/>
        </w:rPr>
        <w:drawing>
          <wp:inline distT="0" distB="0" distL="0" distR="0" wp14:anchorId="52D33C79" wp14:editId="0CC3BDAF">
            <wp:extent cx="4616687" cy="1378021"/>
            <wp:effectExtent l="0" t="0" r="0" b="0"/>
            <wp:docPr id="575478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4787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6465F" w14:textId="77777777" w:rsidR="000036BB" w:rsidRPr="00145D1B" w:rsidRDefault="000036BB" w:rsidP="000036BB">
      <w:r w:rsidRPr="00145D1B">
        <w:t>Damaged parcels (20.01%), late deliveries (19.96%) and customer complaints (19.91%) account for approximately 60% of all recorded incidents.</w:t>
      </w:r>
    </w:p>
    <w:p w14:paraId="5B867164" w14:textId="77777777" w:rsidR="000036BB" w:rsidRPr="00C0304F" w:rsidRDefault="000036BB" w:rsidP="000036BB">
      <w:r w:rsidRPr="00145D1B">
        <w:t xml:space="preserve">Rather than one dominant operational issue, </w:t>
      </w:r>
      <w:proofErr w:type="spellStart"/>
      <w:r w:rsidRPr="00145D1B">
        <w:t>UrbanShift</w:t>
      </w:r>
      <w:proofErr w:type="spellEnd"/>
      <w:r w:rsidRPr="00145D1B">
        <w:t xml:space="preserve"> appears to experience several equally significant service challenges.</w:t>
      </w:r>
    </w:p>
    <w:p w14:paraId="4FB90316" w14:textId="77777777" w:rsidR="000036BB" w:rsidRPr="00397872" w:rsidRDefault="000036BB" w:rsidP="000036BB">
      <w:pPr>
        <w:rPr>
          <w:lang w:val="en-US"/>
        </w:rPr>
      </w:pPr>
    </w:p>
    <w:p w14:paraId="07B84334" w14:textId="77777777" w:rsidR="000036BB" w:rsidRDefault="000036BB" w:rsidP="000036BB">
      <w:pPr>
        <w:rPr>
          <w:lang w:val="en-US"/>
        </w:rPr>
      </w:pPr>
      <w:r>
        <w:rPr>
          <w:lang w:val="en-US"/>
        </w:rPr>
        <w:t xml:space="preserve">Query 13: Resolution Status Analysis </w:t>
      </w:r>
    </w:p>
    <w:p w14:paraId="3EBF2DF5" w14:textId="77777777" w:rsidR="000036BB" w:rsidRDefault="000036BB" w:rsidP="000036BB">
      <w:pPr>
        <w:rPr>
          <w:lang w:val="en-US"/>
        </w:rPr>
      </w:pPr>
      <w:r w:rsidRPr="00A911C9">
        <w:rPr>
          <w:noProof/>
          <w:lang w:val="en-US"/>
        </w:rPr>
        <w:lastRenderedPageBreak/>
        <w:drawing>
          <wp:inline distT="0" distB="0" distL="0" distR="0" wp14:anchorId="4C50A03D" wp14:editId="4C2030CE">
            <wp:extent cx="4629388" cy="825542"/>
            <wp:effectExtent l="0" t="0" r="0" b="0"/>
            <wp:docPr id="1757719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7190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29388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2E93E" w14:textId="77777777" w:rsidR="000036BB" w:rsidRPr="00187AA6" w:rsidRDefault="000036BB" w:rsidP="000036BB">
      <w:r w:rsidRPr="00187AA6">
        <w:t>Approximately 80% of incidents have been resolved, while around 10% remain pending and a further 10% have been escalated.</w:t>
      </w:r>
    </w:p>
    <w:p w14:paraId="52CAD62D" w14:textId="77777777" w:rsidR="000036BB" w:rsidRPr="00DE685D" w:rsidRDefault="000036BB" w:rsidP="000036BB">
      <w:r w:rsidRPr="00187AA6">
        <w:t>Overall incident resolution appears effective; however, unresolved incidents still represent a considerable operational workload.</w:t>
      </w:r>
    </w:p>
    <w:p w14:paraId="4A875058" w14:textId="77777777" w:rsidR="000036BB" w:rsidRPr="00397872" w:rsidRDefault="000036BB" w:rsidP="000036BB">
      <w:pPr>
        <w:rPr>
          <w:lang w:val="en-US"/>
        </w:rPr>
      </w:pPr>
    </w:p>
    <w:p w14:paraId="44220B32" w14:textId="77777777" w:rsidR="000036BB" w:rsidRPr="00F2329B" w:rsidRDefault="000036BB" w:rsidP="000036BB">
      <w:pPr>
        <w:rPr>
          <w:lang w:val="en-US"/>
        </w:rPr>
      </w:pPr>
      <w:r w:rsidRPr="00F2329B">
        <w:rPr>
          <w:lang w:val="en-US"/>
        </w:rPr>
        <w:t>Query 14: Incident Type by Resolution Status</w:t>
      </w:r>
    </w:p>
    <w:p w14:paraId="75699CBD" w14:textId="77777777" w:rsidR="000036BB" w:rsidRDefault="000036BB" w:rsidP="000036BB">
      <w:pPr>
        <w:rPr>
          <w:lang w:val="en-US"/>
        </w:rPr>
      </w:pPr>
      <w:r w:rsidRPr="00A911C9">
        <w:rPr>
          <w:noProof/>
          <w:lang w:val="en-US"/>
        </w:rPr>
        <w:drawing>
          <wp:inline distT="0" distB="0" distL="0" distR="0" wp14:anchorId="09FD3737" wp14:editId="523BED6E">
            <wp:extent cx="4629388" cy="3676839"/>
            <wp:effectExtent l="0" t="0" r="0" b="0"/>
            <wp:docPr id="1743950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9506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29388" cy="367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EE6E2" w14:textId="77777777" w:rsidR="000036BB" w:rsidRPr="005076D2" w:rsidRDefault="000036BB" w:rsidP="000036BB">
      <w:r w:rsidRPr="005076D2">
        <w:t>Customer complaints and damaged parcels account for the largest numbers of pending and escalated incidents, although all incident categories display similar resolution patterns.</w:t>
      </w:r>
    </w:p>
    <w:p w14:paraId="23DC5F6B" w14:textId="77777777" w:rsidR="000036BB" w:rsidRPr="005A4B73" w:rsidRDefault="000036BB" w:rsidP="000036BB">
      <w:r w:rsidRPr="005076D2">
        <w:t>This suggests incident management processes are generally consistent across incident types.</w:t>
      </w:r>
    </w:p>
    <w:p w14:paraId="58455453" w14:textId="77777777" w:rsidR="000036BB" w:rsidRPr="00397872" w:rsidRDefault="000036BB" w:rsidP="000036BB">
      <w:pPr>
        <w:rPr>
          <w:lang w:val="en-US"/>
        </w:rPr>
      </w:pPr>
    </w:p>
    <w:p w14:paraId="76C0E6CA" w14:textId="77777777" w:rsidR="000036BB" w:rsidRPr="00F2329B" w:rsidRDefault="000036BB" w:rsidP="000036BB">
      <w:pPr>
        <w:rPr>
          <w:lang w:val="en-US"/>
        </w:rPr>
      </w:pPr>
      <w:r w:rsidRPr="00F2329B">
        <w:rPr>
          <w:lang w:val="en-US"/>
        </w:rPr>
        <w:t>Query 15: Failed Delivery Rate</w:t>
      </w:r>
    </w:p>
    <w:p w14:paraId="359A8E18" w14:textId="77777777" w:rsidR="000036BB" w:rsidRDefault="000036BB" w:rsidP="000036BB">
      <w:pPr>
        <w:rPr>
          <w:lang w:val="en-US"/>
        </w:rPr>
      </w:pPr>
      <w:r w:rsidRPr="00A911C9">
        <w:rPr>
          <w:noProof/>
          <w:lang w:val="en-US"/>
        </w:rPr>
        <w:drawing>
          <wp:inline distT="0" distB="0" distL="0" distR="0" wp14:anchorId="6010747E" wp14:editId="7251F650">
            <wp:extent cx="4597636" cy="406421"/>
            <wp:effectExtent l="0" t="0" r="0" b="0"/>
            <wp:docPr id="2081301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3011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A0364" w14:textId="77777777" w:rsidR="000036BB" w:rsidRPr="005A4B73" w:rsidRDefault="000036BB" w:rsidP="000036BB">
      <w:r w:rsidRPr="005A4B73">
        <w:t>Failed deliveries account for 5.01% of all deliveries.</w:t>
      </w:r>
    </w:p>
    <w:p w14:paraId="0370D08C" w14:textId="77777777" w:rsidR="000036BB" w:rsidRPr="005A4B73" w:rsidRDefault="000036BB" w:rsidP="000036BB">
      <w:r w:rsidRPr="005A4B73">
        <w:t>Although relatively low, this still represents almost 5,000 unsuccessful delivery attempts across the analysis period.</w:t>
      </w:r>
    </w:p>
    <w:p w14:paraId="19FD4DB3" w14:textId="77777777" w:rsidR="000036BB" w:rsidRPr="00397872" w:rsidRDefault="000036BB" w:rsidP="000036BB">
      <w:pPr>
        <w:rPr>
          <w:lang w:val="en-US"/>
        </w:rPr>
      </w:pPr>
    </w:p>
    <w:p w14:paraId="259A8067" w14:textId="77777777" w:rsidR="000036BB" w:rsidRPr="00F2329B" w:rsidRDefault="000036BB" w:rsidP="000036BB">
      <w:pPr>
        <w:rPr>
          <w:lang w:val="en-US"/>
        </w:rPr>
      </w:pPr>
      <w:r w:rsidRPr="00F2329B">
        <w:rPr>
          <w:lang w:val="en-US"/>
        </w:rPr>
        <w:t>Query 16: Returned Delivery Rate</w:t>
      </w:r>
    </w:p>
    <w:p w14:paraId="14ED6672" w14:textId="77777777" w:rsidR="000036BB" w:rsidRPr="009614CC" w:rsidRDefault="000036BB" w:rsidP="000036BB">
      <w:pPr>
        <w:rPr>
          <w:lang w:val="en-US"/>
        </w:rPr>
      </w:pPr>
      <w:r w:rsidRPr="009614CC">
        <w:rPr>
          <w:noProof/>
          <w:lang w:val="en-US"/>
        </w:rPr>
        <w:drawing>
          <wp:inline distT="0" distB="0" distL="0" distR="0" wp14:anchorId="4D635485" wp14:editId="76AE5D16">
            <wp:extent cx="4648439" cy="406421"/>
            <wp:effectExtent l="0" t="0" r="0" b="0"/>
            <wp:docPr id="310037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0376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48439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FDE4E" w14:textId="77777777" w:rsidR="000036BB" w:rsidRPr="009614CC" w:rsidRDefault="000036BB" w:rsidP="000036BB">
      <w:r w:rsidRPr="009614CC">
        <w:t>Returned deliveries account for 2.99% of all deliveries.</w:t>
      </w:r>
    </w:p>
    <w:p w14:paraId="2E804DB3" w14:textId="77777777" w:rsidR="000036BB" w:rsidRPr="009614CC" w:rsidRDefault="000036BB" w:rsidP="000036BB">
      <w:r w:rsidRPr="009614CC">
        <w:t>This indicates returns represent a smaller operational issue than failed deliveries but still contribute additional handling costs.</w:t>
      </w:r>
    </w:p>
    <w:p w14:paraId="0B318D25" w14:textId="77777777" w:rsidR="000036BB" w:rsidRPr="00397872" w:rsidRDefault="000036BB" w:rsidP="000036BB">
      <w:pPr>
        <w:rPr>
          <w:lang w:val="en-US"/>
        </w:rPr>
      </w:pPr>
    </w:p>
    <w:p w14:paraId="07007200" w14:textId="77777777" w:rsidR="000036BB" w:rsidRPr="008727A9" w:rsidRDefault="000036BB" w:rsidP="000036BB">
      <w:pPr>
        <w:rPr>
          <w:lang w:val="en-US"/>
        </w:rPr>
      </w:pPr>
      <w:r w:rsidRPr="008727A9">
        <w:rPr>
          <w:lang w:val="en-US"/>
        </w:rPr>
        <w:t>Query 17: Delivery Time by Delivery Status</w:t>
      </w:r>
    </w:p>
    <w:p w14:paraId="77334C66" w14:textId="77777777" w:rsidR="000036BB" w:rsidRDefault="000036BB" w:rsidP="000036BB">
      <w:pPr>
        <w:rPr>
          <w:lang w:val="en-US"/>
        </w:rPr>
      </w:pPr>
      <w:r w:rsidRPr="00A911C9">
        <w:rPr>
          <w:noProof/>
          <w:lang w:val="en-US"/>
        </w:rPr>
        <w:drawing>
          <wp:inline distT="0" distB="0" distL="0" distR="0" wp14:anchorId="1A360EFA" wp14:editId="26E95B92">
            <wp:extent cx="4597636" cy="825542"/>
            <wp:effectExtent l="0" t="0" r="0" b="0"/>
            <wp:docPr id="1202217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2170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6E7F5" w14:textId="77777777" w:rsidR="000036BB" w:rsidRPr="009614CC" w:rsidRDefault="000036BB" w:rsidP="000036BB">
      <w:r w:rsidRPr="009614CC">
        <w:t>Average delivery time remains almost identical across delivered, failed and returned deliveries (approximately 69–70 minutes).</w:t>
      </w:r>
    </w:p>
    <w:p w14:paraId="51FD6211" w14:textId="77777777" w:rsidR="000036BB" w:rsidRPr="009614CC" w:rsidRDefault="000036BB" w:rsidP="000036BB">
      <w:r w:rsidRPr="009614CC">
        <w:t>This suggests delivery duration alone does not explain differences in delivery outcomes.</w:t>
      </w:r>
    </w:p>
    <w:p w14:paraId="00A80BA2" w14:textId="77777777" w:rsidR="000036BB" w:rsidRPr="00397872" w:rsidRDefault="000036BB" w:rsidP="000036BB">
      <w:pPr>
        <w:rPr>
          <w:lang w:val="en-US"/>
        </w:rPr>
      </w:pPr>
    </w:p>
    <w:p w14:paraId="49D2F714" w14:textId="77777777" w:rsidR="000036BB" w:rsidRPr="008727A9" w:rsidRDefault="000036BB" w:rsidP="000036BB">
      <w:pPr>
        <w:rPr>
          <w:lang w:val="en-US"/>
        </w:rPr>
      </w:pPr>
      <w:r w:rsidRPr="008727A9">
        <w:rPr>
          <w:lang w:val="en-US"/>
        </w:rPr>
        <w:t>Query 18: Delivery Time vs Incident Occurrence</w:t>
      </w:r>
    </w:p>
    <w:p w14:paraId="1D9EB47B" w14:textId="77777777" w:rsidR="000036BB" w:rsidRDefault="000036BB" w:rsidP="000036BB">
      <w:pPr>
        <w:rPr>
          <w:lang w:val="en-US"/>
        </w:rPr>
      </w:pPr>
      <w:r w:rsidRPr="00C43F6E">
        <w:rPr>
          <w:noProof/>
          <w:lang w:val="en-US"/>
        </w:rPr>
        <w:drawing>
          <wp:inline distT="0" distB="0" distL="0" distR="0" wp14:anchorId="616AC634" wp14:editId="5842B4BF">
            <wp:extent cx="4648439" cy="615982"/>
            <wp:effectExtent l="0" t="0" r="0" b="0"/>
            <wp:docPr id="498643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6433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48439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E8F99" w14:textId="77777777" w:rsidR="000036BB" w:rsidRPr="004C50DD" w:rsidRDefault="000036BB" w:rsidP="000036BB">
      <w:r w:rsidRPr="004C50DD">
        <w:t>Average delivery duration is identical for deliveries with and without incidents (69 minutes).</w:t>
      </w:r>
    </w:p>
    <w:p w14:paraId="4E57D445" w14:textId="77777777" w:rsidR="000036BB" w:rsidRPr="00156546" w:rsidRDefault="000036BB" w:rsidP="000036BB">
      <w:r w:rsidRPr="004C50DD">
        <w:t>Based on this analysis, delivery time does not appear to be a major contributor to operational incidents.</w:t>
      </w:r>
    </w:p>
    <w:p w14:paraId="1A77464B" w14:textId="77777777" w:rsidR="000036BB" w:rsidRPr="00397872" w:rsidRDefault="000036BB" w:rsidP="000036BB">
      <w:pPr>
        <w:rPr>
          <w:lang w:val="en-US"/>
        </w:rPr>
      </w:pPr>
    </w:p>
    <w:p w14:paraId="6CD05BF2" w14:textId="77777777" w:rsidR="000036BB" w:rsidRDefault="000036BB" w:rsidP="000036BB">
      <w:pPr>
        <w:pStyle w:val="Heading3"/>
        <w:rPr>
          <w:lang w:val="en-US"/>
        </w:rPr>
      </w:pPr>
      <w:r>
        <w:rPr>
          <w:lang w:val="en-US"/>
        </w:rPr>
        <w:t xml:space="preserve">Business Question 3 </w:t>
      </w:r>
    </w:p>
    <w:p w14:paraId="106455AB" w14:textId="77777777" w:rsidR="000036BB" w:rsidRPr="002477A6" w:rsidRDefault="000036BB" w:rsidP="000036BB">
      <w:pPr>
        <w:rPr>
          <w:lang w:val="en-US"/>
        </w:rPr>
      </w:pPr>
      <w:r w:rsidRPr="002477A6">
        <w:rPr>
          <w:lang w:val="en-US"/>
        </w:rPr>
        <w:t>Query 19: Monthly Delivery Volume by Customer</w:t>
      </w:r>
    </w:p>
    <w:p w14:paraId="071626F1" w14:textId="77777777" w:rsidR="000036BB" w:rsidRDefault="000036BB" w:rsidP="000036BB">
      <w:pPr>
        <w:rPr>
          <w:lang w:val="en-US"/>
        </w:rPr>
      </w:pPr>
      <w:r w:rsidRPr="00F92176">
        <w:rPr>
          <w:noProof/>
          <w:lang w:val="en-US"/>
        </w:rPr>
        <w:lastRenderedPageBreak/>
        <w:drawing>
          <wp:inline distT="0" distB="0" distL="0" distR="0" wp14:anchorId="121CE6E5" wp14:editId="79D29B0E">
            <wp:extent cx="5731510" cy="3360420"/>
            <wp:effectExtent l="0" t="0" r="2540" b="0"/>
            <wp:docPr id="1428328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3288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0A9F7" w14:textId="77777777" w:rsidR="000036BB" w:rsidRPr="003825FD" w:rsidRDefault="000036BB" w:rsidP="000036BB">
      <w:pPr>
        <w:rPr>
          <w:lang w:val="en-US"/>
        </w:rPr>
      </w:pPr>
      <w:r w:rsidRPr="003825FD">
        <w:t>Several customers show sustained declines in delivery activity over the analysis period. For example, Apex Retail Ltd decreased from 127 deliveries in October to 8 in June (approximately 94% decline), whereas Blue Trading Ltd recovered after a temporary decrease. This suggests sustained declines are a stronger indicator of potential churn than short-term fluctuations.</w:t>
      </w:r>
    </w:p>
    <w:p w14:paraId="00E54E56" w14:textId="77777777" w:rsidR="000036BB" w:rsidRPr="00397872" w:rsidRDefault="000036BB" w:rsidP="000036BB">
      <w:pPr>
        <w:rPr>
          <w:lang w:val="en-US"/>
        </w:rPr>
      </w:pPr>
    </w:p>
    <w:p w14:paraId="77FAF867" w14:textId="77777777" w:rsidR="000036BB" w:rsidRPr="002477A6" w:rsidRDefault="000036BB" w:rsidP="000036BB">
      <w:pPr>
        <w:rPr>
          <w:lang w:val="en-US"/>
        </w:rPr>
      </w:pPr>
      <w:r w:rsidRPr="002477A6">
        <w:rPr>
          <w:lang w:val="en-US"/>
        </w:rPr>
        <w:t>Query 20: Monthly Revenue Trend by Customer</w:t>
      </w:r>
    </w:p>
    <w:p w14:paraId="1CCF6984" w14:textId="77777777" w:rsidR="000036BB" w:rsidRDefault="000036BB" w:rsidP="000036BB">
      <w:pPr>
        <w:rPr>
          <w:lang w:val="en-US"/>
        </w:rPr>
      </w:pPr>
      <w:r w:rsidRPr="00F92176">
        <w:rPr>
          <w:noProof/>
          <w:lang w:val="en-US"/>
        </w:rPr>
        <w:drawing>
          <wp:inline distT="0" distB="0" distL="0" distR="0" wp14:anchorId="1F936D50" wp14:editId="75D54809">
            <wp:extent cx="5731510" cy="3451860"/>
            <wp:effectExtent l="0" t="0" r="2540" b="0"/>
            <wp:docPr id="1929001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0012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FAA05" w14:textId="77777777" w:rsidR="000036BB" w:rsidRDefault="000036BB" w:rsidP="000036BB">
      <w:pPr>
        <w:rPr>
          <w:lang w:val="en-US"/>
        </w:rPr>
      </w:pPr>
      <w:r w:rsidRPr="003E7A13">
        <w:rPr>
          <w:lang w:val="en-US"/>
        </w:rPr>
        <w:t xml:space="preserve">Revenue trends closely mirror delivery volumes. Apex Retail </w:t>
      </w:r>
      <w:proofErr w:type="spellStart"/>
      <w:r w:rsidRPr="003E7A13">
        <w:rPr>
          <w:lang w:val="en-US"/>
        </w:rPr>
        <w:t>Ltd's</w:t>
      </w:r>
      <w:proofErr w:type="spellEnd"/>
      <w:r w:rsidRPr="003E7A13">
        <w:rPr>
          <w:lang w:val="en-US"/>
        </w:rPr>
        <w:t xml:space="preserve"> monthly revenue declined from £752.38 to £43.46 (approximately 94% decline), while Blue Trading Ltd recovered after an </w:t>
      </w:r>
      <w:r w:rsidRPr="003E7A13">
        <w:rPr>
          <w:lang w:val="en-US"/>
        </w:rPr>
        <w:lastRenderedPageBreak/>
        <w:t>initial decrease. Customers showing consistent reductions in both revenue and activity are likely to represent higher churn risk.</w:t>
      </w:r>
    </w:p>
    <w:p w14:paraId="5FFA5D14" w14:textId="77777777" w:rsidR="000036BB" w:rsidRPr="00397872" w:rsidRDefault="000036BB" w:rsidP="000036BB">
      <w:pPr>
        <w:rPr>
          <w:lang w:val="en-US"/>
        </w:rPr>
      </w:pPr>
    </w:p>
    <w:p w14:paraId="22D1AB3F" w14:textId="77777777" w:rsidR="000036BB" w:rsidRPr="002477A6" w:rsidRDefault="000036BB" w:rsidP="000036BB">
      <w:pPr>
        <w:rPr>
          <w:lang w:val="en-US"/>
        </w:rPr>
      </w:pPr>
      <w:r w:rsidRPr="002477A6">
        <w:rPr>
          <w:lang w:val="en-US"/>
        </w:rPr>
        <w:t>Query 21: Customer Incident Rate</w:t>
      </w:r>
    </w:p>
    <w:p w14:paraId="673926E8" w14:textId="77777777" w:rsidR="000036BB" w:rsidRDefault="000036BB" w:rsidP="000036BB">
      <w:pPr>
        <w:rPr>
          <w:lang w:val="en-US"/>
        </w:rPr>
      </w:pPr>
      <w:r w:rsidRPr="00F92176">
        <w:rPr>
          <w:noProof/>
          <w:lang w:val="en-US"/>
        </w:rPr>
        <w:drawing>
          <wp:inline distT="0" distB="0" distL="0" distR="0" wp14:anchorId="12398765" wp14:editId="440BE690">
            <wp:extent cx="5731510" cy="1762125"/>
            <wp:effectExtent l="0" t="0" r="2540" b="9525"/>
            <wp:docPr id="390841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8412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67E55" w14:textId="77777777" w:rsidR="000036BB" w:rsidRPr="003E7A13" w:rsidRDefault="000036BB" w:rsidP="000036BB">
      <w:r w:rsidRPr="003E7A13">
        <w:t>The highest customer incident rates range from 26.35% to 30.36%, exceeding the company average of 22.81%. High-volume customers such as Echo Hub Ltd (29.20%) and Luma Market Ltd (29.10%) experience frequent service disruptions, increasing the risk of customer dissatisfaction.</w:t>
      </w:r>
    </w:p>
    <w:p w14:paraId="26793382" w14:textId="77777777" w:rsidR="000036BB" w:rsidRPr="00397872" w:rsidRDefault="000036BB" w:rsidP="000036BB">
      <w:pPr>
        <w:rPr>
          <w:lang w:val="en-US"/>
        </w:rPr>
      </w:pPr>
    </w:p>
    <w:p w14:paraId="12B9D7A6" w14:textId="77777777" w:rsidR="000036BB" w:rsidRPr="002477A6" w:rsidRDefault="000036BB" w:rsidP="000036BB">
      <w:pPr>
        <w:rPr>
          <w:lang w:val="en-US"/>
        </w:rPr>
      </w:pPr>
      <w:r w:rsidRPr="002477A6">
        <w:rPr>
          <w:lang w:val="en-US"/>
        </w:rPr>
        <w:t>Query 22: Customer Failed Delivery Rate</w:t>
      </w:r>
    </w:p>
    <w:p w14:paraId="4D2FEC8C" w14:textId="77777777" w:rsidR="000036BB" w:rsidRDefault="000036BB" w:rsidP="000036BB">
      <w:pPr>
        <w:rPr>
          <w:lang w:val="en-US"/>
        </w:rPr>
      </w:pPr>
      <w:r w:rsidRPr="00F92176">
        <w:rPr>
          <w:noProof/>
          <w:lang w:val="en-US"/>
        </w:rPr>
        <w:drawing>
          <wp:inline distT="0" distB="0" distL="0" distR="0" wp14:anchorId="1798F6FC" wp14:editId="6247DEC3">
            <wp:extent cx="5731510" cy="1732915"/>
            <wp:effectExtent l="0" t="0" r="2540" b="635"/>
            <wp:docPr id="853036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03657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2950B" w14:textId="77777777" w:rsidR="000036BB" w:rsidRPr="003E7A13" w:rsidRDefault="000036BB" w:rsidP="000036BB">
      <w:r w:rsidRPr="003E7A13">
        <w:t>The highest failed delivery rates range between 6.53% and 8.72%, above the company average of 5.01%. Grove Hub Ltd recorded the highest failed delivery rate (8.72%), suggesting delivery reliability may be contributing to reduced customer satisfaction.</w:t>
      </w:r>
    </w:p>
    <w:p w14:paraId="0C6CAD34" w14:textId="77777777" w:rsidR="000036BB" w:rsidRPr="00397872" w:rsidRDefault="000036BB" w:rsidP="000036BB">
      <w:pPr>
        <w:rPr>
          <w:lang w:val="en-US"/>
        </w:rPr>
      </w:pPr>
    </w:p>
    <w:p w14:paraId="403D4E13" w14:textId="77777777" w:rsidR="000036BB" w:rsidRPr="002477A6" w:rsidRDefault="000036BB" w:rsidP="000036BB">
      <w:pPr>
        <w:rPr>
          <w:lang w:val="en-US"/>
        </w:rPr>
      </w:pPr>
      <w:r w:rsidRPr="002477A6">
        <w:rPr>
          <w:lang w:val="en-US"/>
        </w:rPr>
        <w:t>Query 2</w:t>
      </w:r>
      <w:r>
        <w:rPr>
          <w:lang w:val="en-US"/>
        </w:rPr>
        <w:t>3</w:t>
      </w:r>
      <w:r w:rsidRPr="002477A6">
        <w:rPr>
          <w:lang w:val="en-US"/>
        </w:rPr>
        <w:t>: Customer Service Quality vs Activity</w:t>
      </w:r>
    </w:p>
    <w:p w14:paraId="756722AE" w14:textId="77777777" w:rsidR="000036BB" w:rsidRDefault="000036BB" w:rsidP="000036BB">
      <w:pPr>
        <w:rPr>
          <w:lang w:val="en-US"/>
        </w:rPr>
      </w:pPr>
      <w:r w:rsidRPr="00F92176">
        <w:rPr>
          <w:noProof/>
          <w:lang w:val="en-US"/>
        </w:rPr>
        <w:drawing>
          <wp:inline distT="0" distB="0" distL="0" distR="0" wp14:anchorId="7A39C809" wp14:editId="15BC0260">
            <wp:extent cx="5731510" cy="1115695"/>
            <wp:effectExtent l="0" t="0" r="2540" b="8255"/>
            <wp:docPr id="2093864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86403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A76A2" w14:textId="77777777" w:rsidR="000036BB" w:rsidRPr="00553BCD" w:rsidRDefault="000036BB" w:rsidP="000036BB">
      <w:r w:rsidRPr="00553BCD">
        <w:lastRenderedPageBreak/>
        <w:t>Customers with high incident rates also demonstrate significant reductions in delivery activity. For example, Grove Hub Ltd recorded an incident rate of 30.36% alongside a 94.55% reduction in deliveries, while Luma Market Ltd experienced a 29.10% incident rate and a 93.75% decline. This suggests poor service quality may be linked to declining customer engagement.</w:t>
      </w:r>
    </w:p>
    <w:p w14:paraId="7695DD6B" w14:textId="77777777" w:rsidR="000036BB" w:rsidRPr="00397872" w:rsidRDefault="000036BB" w:rsidP="000036BB">
      <w:pPr>
        <w:rPr>
          <w:lang w:val="en-US"/>
        </w:rPr>
      </w:pPr>
    </w:p>
    <w:p w14:paraId="6E5C5764" w14:textId="77777777" w:rsidR="000036BB" w:rsidRPr="002477A6" w:rsidRDefault="000036BB" w:rsidP="000036BB">
      <w:pPr>
        <w:rPr>
          <w:lang w:val="en-US"/>
        </w:rPr>
      </w:pPr>
      <w:r w:rsidRPr="002477A6">
        <w:rPr>
          <w:lang w:val="en-US"/>
        </w:rPr>
        <w:t>Query 2</w:t>
      </w:r>
      <w:r>
        <w:rPr>
          <w:lang w:val="en-US"/>
        </w:rPr>
        <w:t>4</w:t>
      </w:r>
      <w:r w:rsidRPr="002477A6">
        <w:rPr>
          <w:lang w:val="en-US"/>
        </w:rPr>
        <w:t>: Churn Model Feature Exploration</w:t>
      </w:r>
    </w:p>
    <w:p w14:paraId="3E13BAB4" w14:textId="77777777" w:rsidR="000036BB" w:rsidRDefault="000036BB" w:rsidP="000036BB">
      <w:pPr>
        <w:rPr>
          <w:lang w:val="en-US"/>
        </w:rPr>
      </w:pPr>
      <w:r w:rsidRPr="00F92176">
        <w:rPr>
          <w:noProof/>
          <w:lang w:val="en-US"/>
        </w:rPr>
        <w:drawing>
          <wp:inline distT="0" distB="0" distL="0" distR="0" wp14:anchorId="68B3CF26" wp14:editId="551EE06F">
            <wp:extent cx="5731510" cy="992505"/>
            <wp:effectExtent l="0" t="0" r="2540" b="0"/>
            <wp:docPr id="2004517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51724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E71F8" w14:textId="77777777" w:rsidR="000036BB" w:rsidRPr="00397872" w:rsidRDefault="000036BB" w:rsidP="000036BB">
      <w:pPr>
        <w:rPr>
          <w:lang w:val="en-US"/>
        </w:rPr>
      </w:pPr>
      <w:r w:rsidRPr="00F92176">
        <w:rPr>
          <w:noProof/>
          <w:lang w:val="en-US"/>
        </w:rPr>
        <w:drawing>
          <wp:inline distT="0" distB="0" distL="0" distR="0" wp14:anchorId="1C94F74A" wp14:editId="19DF9A1E">
            <wp:extent cx="5731510" cy="1141095"/>
            <wp:effectExtent l="0" t="0" r="2540" b="1905"/>
            <wp:docPr id="1497114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11480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E000C" w14:textId="627E0B25" w:rsidR="00290D93" w:rsidRDefault="00290D93">
      <w:pPr>
        <w:rPr>
          <w:lang w:val="en-US"/>
        </w:rPr>
      </w:pPr>
    </w:p>
    <w:p w14:paraId="52747844" w14:textId="77777777" w:rsidR="00290D93" w:rsidRDefault="00290D93" w:rsidP="00290D93">
      <w:pPr>
        <w:pStyle w:val="Heading3"/>
        <w:rPr>
          <w:lang w:val="en-US"/>
        </w:rPr>
      </w:pPr>
      <w:r>
        <w:rPr>
          <w:lang w:val="en-US"/>
        </w:rPr>
        <w:t xml:space="preserve">Operational Risk Dashboard </w:t>
      </w:r>
    </w:p>
    <w:p w14:paraId="0E99464E" w14:textId="77777777" w:rsidR="00290D93" w:rsidRPr="00CD7585" w:rsidRDefault="00290D93" w:rsidP="00290D93">
      <w:pPr>
        <w:rPr>
          <w:lang w:val="en-US"/>
        </w:rPr>
      </w:pPr>
      <w:r>
        <w:rPr>
          <w:noProof/>
        </w:rPr>
        <w:drawing>
          <wp:inline distT="0" distB="0" distL="0" distR="0" wp14:anchorId="3A60D190" wp14:editId="335C025E">
            <wp:extent cx="5792962" cy="4135813"/>
            <wp:effectExtent l="0" t="0" r="0" b="0"/>
            <wp:docPr id="1123869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411" cy="4143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292ACE24" w14:textId="77777777" w:rsidR="00290D93" w:rsidRPr="00EC12EE" w:rsidRDefault="00290D93" w:rsidP="00290D9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FB01611" wp14:editId="4466F86D">
            <wp:extent cx="5925101" cy="4230156"/>
            <wp:effectExtent l="0" t="0" r="0" b="0"/>
            <wp:docPr id="1552224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3639" cy="4271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27ABB" w14:textId="4A56085F" w:rsidR="00290D93" w:rsidRDefault="00290D93" w:rsidP="00290D93">
      <w:pPr>
        <w:pStyle w:val="NormalWeb"/>
      </w:pPr>
      <w:r w:rsidRPr="00CD7585">
        <w:rPr>
          <w:noProof/>
        </w:rPr>
        <w:drawing>
          <wp:inline distT="0" distB="0" distL="0" distR="0" wp14:anchorId="35CFAD8A" wp14:editId="6598B1C1">
            <wp:extent cx="5909244" cy="4220795"/>
            <wp:effectExtent l="0" t="0" r="0" b="8890"/>
            <wp:docPr id="4384193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4460" cy="4260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B106E" w14:textId="77777777" w:rsidR="00290D93" w:rsidRPr="00CD7585" w:rsidRDefault="00290D93" w:rsidP="00290D93">
      <w:pPr>
        <w:pStyle w:val="NormalWeb"/>
      </w:pPr>
      <w:r w:rsidRPr="00CD7585">
        <w:rPr>
          <w:noProof/>
        </w:rPr>
        <w:lastRenderedPageBreak/>
        <w:drawing>
          <wp:inline distT="0" distB="0" distL="0" distR="0" wp14:anchorId="129FEB42" wp14:editId="7DBFCDF1">
            <wp:extent cx="5740106" cy="4099989"/>
            <wp:effectExtent l="0" t="0" r="0" b="0"/>
            <wp:docPr id="6099178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398" cy="4153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27A3C" w14:textId="77777777" w:rsidR="00290D93" w:rsidRDefault="00290D93" w:rsidP="00290D93">
      <w:pPr>
        <w:rPr>
          <w:lang w:val="en-US"/>
        </w:rPr>
      </w:pPr>
      <w:r w:rsidRPr="00137BBD">
        <w:rPr>
          <w:noProof/>
        </w:rPr>
        <w:drawing>
          <wp:inline distT="0" distB="0" distL="0" distR="0" wp14:anchorId="52A607FC" wp14:editId="6005BB3A">
            <wp:extent cx="6038339" cy="4313008"/>
            <wp:effectExtent l="0" t="0" r="635" b="0"/>
            <wp:docPr id="119841488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6487" cy="4383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83C24" w14:textId="77777777" w:rsidR="00290D93" w:rsidRDefault="00290D93" w:rsidP="00290D9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F507B47" wp14:editId="73E325F6">
            <wp:extent cx="5803533" cy="4145290"/>
            <wp:effectExtent l="0" t="0" r="6985" b="7620"/>
            <wp:docPr id="81147197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7390" cy="4176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EADEB" w14:textId="77777777" w:rsidR="00290D93" w:rsidRDefault="00290D93" w:rsidP="00290D93">
      <w:pPr>
        <w:pStyle w:val="NormalWeb"/>
      </w:pPr>
      <w:r>
        <w:rPr>
          <w:noProof/>
        </w:rPr>
        <w:drawing>
          <wp:inline distT="0" distB="0" distL="0" distR="0" wp14:anchorId="43412B49" wp14:editId="258F3BC3">
            <wp:extent cx="5787676" cy="4133959"/>
            <wp:effectExtent l="0" t="0" r="3810" b="0"/>
            <wp:docPr id="65381246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605" cy="4178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3D47C" w14:textId="77777777" w:rsidR="00290D93" w:rsidRPr="00901FF7" w:rsidRDefault="00290D93" w:rsidP="00290D93">
      <w:pPr>
        <w:pStyle w:val="NormalWeb"/>
      </w:pPr>
      <w:r>
        <w:rPr>
          <w:noProof/>
        </w:rPr>
        <w:lastRenderedPageBreak/>
        <w:drawing>
          <wp:inline distT="0" distB="0" distL="0" distR="0" wp14:anchorId="7A098713" wp14:editId="11EC1826">
            <wp:extent cx="5888102" cy="4205695"/>
            <wp:effectExtent l="0" t="0" r="0" b="4445"/>
            <wp:docPr id="186753436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887" cy="423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E5705" w14:textId="77777777" w:rsidR="00290D93" w:rsidRDefault="00290D93" w:rsidP="00290D93">
      <w:pPr>
        <w:pStyle w:val="NormalWeb"/>
      </w:pPr>
      <w:r>
        <w:rPr>
          <w:noProof/>
        </w:rPr>
        <w:drawing>
          <wp:inline distT="0" distB="0" distL="0" distR="0" wp14:anchorId="5BF83F85" wp14:editId="6A440795">
            <wp:extent cx="5993947" cy="4281295"/>
            <wp:effectExtent l="0" t="0" r="6985" b="5080"/>
            <wp:docPr id="63909008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278" cy="4296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D1E79" w14:textId="77777777" w:rsidR="00290D93" w:rsidRPr="001346F1" w:rsidRDefault="00290D93" w:rsidP="00290D93">
      <w:pPr>
        <w:pStyle w:val="NormalWeb"/>
      </w:pPr>
      <w:r w:rsidRPr="006E3664">
        <w:rPr>
          <w:noProof/>
        </w:rPr>
        <w:lastRenderedPageBreak/>
        <w:drawing>
          <wp:inline distT="0" distB="0" distL="0" distR="0" wp14:anchorId="55875C1E" wp14:editId="15C5B449">
            <wp:extent cx="5729535" cy="4092434"/>
            <wp:effectExtent l="0" t="0" r="5080" b="3810"/>
            <wp:docPr id="97256938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4747" cy="4110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708FC" w14:textId="77777777" w:rsidR="00290D93" w:rsidRDefault="00290D93" w:rsidP="00290D93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Revenue by industry – bar chart </w:t>
      </w:r>
    </w:p>
    <w:p w14:paraId="04107D4C" w14:textId="77777777" w:rsidR="00290D93" w:rsidRPr="0061137F" w:rsidRDefault="00290D93" w:rsidP="00290D93">
      <w:pPr>
        <w:pStyle w:val="ListParagraph"/>
        <w:numPr>
          <w:ilvl w:val="1"/>
          <w:numId w:val="12"/>
        </w:numPr>
        <w:rPr>
          <w:lang w:val="en-US"/>
        </w:rPr>
      </w:pPr>
      <w:r w:rsidRPr="004423D6">
        <w:t>May reveal opportunities for future growth and customer acquisition.</w:t>
      </w:r>
    </w:p>
    <w:p w14:paraId="2EEBA3D9" w14:textId="6783B482" w:rsidR="00290D93" w:rsidRDefault="00290D93" w:rsidP="00844E1E">
      <w:r w:rsidRPr="0061137F">
        <w:rPr>
          <w:noProof/>
        </w:rPr>
        <w:drawing>
          <wp:inline distT="0" distB="0" distL="0" distR="0" wp14:anchorId="40EC9379" wp14:editId="31BF6494">
            <wp:extent cx="5703108" cy="4073558"/>
            <wp:effectExtent l="0" t="0" r="0" b="3175"/>
            <wp:docPr id="127730750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36" cy="4088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97920" w14:textId="77777777" w:rsidR="00290D93" w:rsidRPr="00365F8F" w:rsidRDefault="00290D93" w:rsidP="00290D93">
      <w:pPr>
        <w:pStyle w:val="NormalWeb"/>
      </w:pPr>
      <w:r w:rsidRPr="00365F8F">
        <w:rPr>
          <w:noProof/>
        </w:rPr>
        <w:lastRenderedPageBreak/>
        <w:drawing>
          <wp:inline distT="0" distB="0" distL="0" distR="0" wp14:anchorId="601A0514" wp14:editId="5A2C108C">
            <wp:extent cx="5740106" cy="4099983"/>
            <wp:effectExtent l="0" t="0" r="0" b="0"/>
            <wp:docPr id="77072352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518" cy="4123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88A6F" w14:textId="77777777" w:rsidR="00290D93" w:rsidRPr="00365F8F" w:rsidRDefault="00290D93" w:rsidP="00290D93">
      <w:pPr>
        <w:pStyle w:val="NormalWeb"/>
      </w:pPr>
      <w:r w:rsidRPr="00365F8F">
        <w:rPr>
          <w:noProof/>
        </w:rPr>
        <w:drawing>
          <wp:inline distT="0" distB="0" distL="0" distR="0" wp14:anchorId="31DC6050" wp14:editId="692FA007">
            <wp:extent cx="5718964" cy="4084884"/>
            <wp:effectExtent l="0" t="0" r="0" b="0"/>
            <wp:docPr id="167734025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365" cy="4108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F2C88" w14:textId="77777777" w:rsidR="00290D93" w:rsidRPr="00F40A02" w:rsidRDefault="00290D93" w:rsidP="00290D93">
      <w:pPr>
        <w:rPr>
          <w:lang w:val="en-US"/>
        </w:rPr>
      </w:pPr>
    </w:p>
    <w:p w14:paraId="550C4209" w14:textId="77777777" w:rsidR="00290D93" w:rsidRPr="00276836" w:rsidRDefault="00290D93" w:rsidP="00290D93">
      <w:pPr>
        <w:pStyle w:val="Heading3"/>
        <w:rPr>
          <w:lang w:val="en-US"/>
        </w:rPr>
      </w:pPr>
      <w:r>
        <w:rPr>
          <w:lang w:val="en-US"/>
        </w:rPr>
        <w:lastRenderedPageBreak/>
        <w:t xml:space="preserve">Retention Dashboard </w:t>
      </w:r>
    </w:p>
    <w:p w14:paraId="524E2AEF" w14:textId="77777777" w:rsidR="00290D93" w:rsidRDefault="00290D93" w:rsidP="00290D93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Monthly deliveries per customer – line chart </w:t>
      </w:r>
    </w:p>
    <w:p w14:paraId="1BD20099" w14:textId="77777777" w:rsidR="00290D93" w:rsidRDefault="00290D93" w:rsidP="00290D93">
      <w:pPr>
        <w:pStyle w:val="ListParagraph"/>
        <w:numPr>
          <w:ilvl w:val="1"/>
          <w:numId w:val="13"/>
        </w:numPr>
        <w:rPr>
          <w:lang w:val="en-US"/>
        </w:rPr>
      </w:pPr>
      <w:r w:rsidRPr="00913207">
        <w:rPr>
          <w:lang w:val="en-US"/>
        </w:rPr>
        <w:t>May provide early indicators of customer churn.</w:t>
      </w:r>
    </w:p>
    <w:p w14:paraId="626DA507" w14:textId="77777777" w:rsidR="00290D93" w:rsidRDefault="00290D93" w:rsidP="00290D93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Monthly revenue by customer</w:t>
      </w:r>
    </w:p>
    <w:p w14:paraId="2360E745" w14:textId="77777777" w:rsidR="00290D93" w:rsidRDefault="00290D93" w:rsidP="00290D93">
      <w:pPr>
        <w:pStyle w:val="ListParagraph"/>
        <w:numPr>
          <w:ilvl w:val="1"/>
          <w:numId w:val="13"/>
        </w:numPr>
        <w:rPr>
          <w:lang w:val="en-US"/>
        </w:rPr>
      </w:pPr>
      <w:r w:rsidRPr="00913207">
        <w:t>Supports churn analysis and customer retention efforts.</w:t>
      </w:r>
    </w:p>
    <w:p w14:paraId="579500DB" w14:textId="77777777" w:rsidR="00290D93" w:rsidRDefault="00290D93" w:rsidP="00290D93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Monthly incidents per customer – line chart</w:t>
      </w:r>
    </w:p>
    <w:p w14:paraId="0A4EB3A5" w14:textId="77777777" w:rsidR="00290D93" w:rsidRPr="00CC7A58" w:rsidRDefault="00290D93" w:rsidP="00290D93">
      <w:pPr>
        <w:pStyle w:val="ListParagraph"/>
        <w:numPr>
          <w:ilvl w:val="1"/>
          <w:numId w:val="13"/>
        </w:numPr>
        <w:rPr>
          <w:lang w:val="en-US"/>
        </w:rPr>
      </w:pPr>
      <w:r w:rsidRPr="00913207">
        <w:t>May identify customers at increased risk of dissatisfaction or churn.</w:t>
      </w:r>
    </w:p>
    <w:p w14:paraId="084E6B81" w14:textId="77777777" w:rsidR="00290D93" w:rsidRPr="00246CEE" w:rsidRDefault="00290D93" w:rsidP="00290D93">
      <w:pPr>
        <w:pStyle w:val="ListParagraph"/>
        <w:numPr>
          <w:ilvl w:val="0"/>
          <w:numId w:val="13"/>
        </w:numPr>
        <w:rPr>
          <w:lang w:val="en-US"/>
        </w:rPr>
      </w:pPr>
      <w:r>
        <w:t>Churn risk scores – bar chart</w:t>
      </w:r>
    </w:p>
    <w:p w14:paraId="437EEDEF" w14:textId="77777777" w:rsidR="00290D93" w:rsidRPr="002411BF" w:rsidRDefault="00290D93" w:rsidP="00290D93">
      <w:pPr>
        <w:pStyle w:val="ListParagraph"/>
        <w:numPr>
          <w:ilvl w:val="1"/>
          <w:numId w:val="13"/>
        </w:numPr>
        <w:rPr>
          <w:lang w:val="en-US"/>
        </w:rPr>
      </w:pPr>
      <w:r w:rsidRPr="00246CEE">
        <w:t xml:space="preserve">Provides an actionable output for </w:t>
      </w:r>
      <w:r>
        <w:t xml:space="preserve">stakeholders. </w:t>
      </w:r>
    </w:p>
    <w:p w14:paraId="1F36ACBC" w14:textId="49563364" w:rsidR="00290D93" w:rsidRDefault="00290D93">
      <w:pPr>
        <w:rPr>
          <w:lang w:val="en-US"/>
        </w:rPr>
      </w:pPr>
    </w:p>
    <w:p w14:paraId="2729AD4C" w14:textId="24B3C26E" w:rsidR="006419C3" w:rsidRDefault="006419C3">
      <w:pPr>
        <w:rPr>
          <w:lang w:val="en-US"/>
        </w:rPr>
      </w:pPr>
      <w:r>
        <w:rPr>
          <w:lang w:val="en-US"/>
        </w:rPr>
        <w:t xml:space="preserve">Cleaning Validation </w:t>
      </w:r>
    </w:p>
    <w:p w14:paraId="78B63729" w14:textId="47C932BE" w:rsidR="00485312" w:rsidRDefault="00485312">
      <w:pPr>
        <w:rPr>
          <w:lang w:val="en-US"/>
        </w:rPr>
      </w:pPr>
      <w:r w:rsidRPr="00485312">
        <w:rPr>
          <w:noProof/>
          <w:lang w:val="en-US"/>
        </w:rPr>
        <w:drawing>
          <wp:inline distT="0" distB="0" distL="0" distR="0" wp14:anchorId="340D26B7" wp14:editId="77930AF3">
            <wp:extent cx="5296172" cy="5359675"/>
            <wp:effectExtent l="0" t="0" r="0" b="0"/>
            <wp:docPr id="2934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497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96172" cy="535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86A5C" w14:textId="77777777" w:rsidR="00E55188" w:rsidRDefault="00E55188">
      <w:pPr>
        <w:rPr>
          <w:lang w:val="en-US"/>
        </w:rPr>
      </w:pPr>
    </w:p>
    <w:p w14:paraId="3E40161F" w14:textId="65625E14" w:rsidR="00E55188" w:rsidRDefault="00E55188">
      <w:pPr>
        <w:rPr>
          <w:lang w:val="en-US"/>
        </w:rPr>
      </w:pPr>
      <w:r w:rsidRPr="00E55188">
        <w:rPr>
          <w:noProof/>
          <w:lang w:val="en-US"/>
        </w:rPr>
        <w:lastRenderedPageBreak/>
        <w:drawing>
          <wp:inline distT="0" distB="0" distL="0" distR="0" wp14:anchorId="09C01B48" wp14:editId="29E34FDB">
            <wp:extent cx="5086611" cy="2749691"/>
            <wp:effectExtent l="0" t="0" r="0" b="0"/>
            <wp:docPr id="1465027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02776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86611" cy="274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F4192" w14:textId="3036E260" w:rsidR="006419C3" w:rsidRDefault="000B7578">
      <w:pPr>
        <w:rPr>
          <w:lang w:val="en-US"/>
        </w:rPr>
      </w:pPr>
      <w:r w:rsidRPr="000B7578">
        <w:rPr>
          <w:noProof/>
          <w:lang w:val="en-US"/>
        </w:rPr>
        <w:drawing>
          <wp:inline distT="0" distB="0" distL="0" distR="0" wp14:anchorId="449742B5" wp14:editId="426CAC2F">
            <wp:extent cx="5731510" cy="3799205"/>
            <wp:effectExtent l="0" t="0" r="2540" b="0"/>
            <wp:docPr id="1464606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60648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398B4" w14:textId="77777777" w:rsidR="006419C3" w:rsidRDefault="006419C3">
      <w:pPr>
        <w:rPr>
          <w:lang w:val="en-US"/>
        </w:rPr>
      </w:pPr>
    </w:p>
    <w:p w14:paraId="0A87A7CF" w14:textId="77777777" w:rsidR="0051415B" w:rsidRDefault="0051415B">
      <w:pPr>
        <w:rPr>
          <w:lang w:val="en-US"/>
        </w:rPr>
      </w:pPr>
    </w:p>
    <w:p w14:paraId="77583FF2" w14:textId="77777777" w:rsidR="00FD4941" w:rsidRDefault="00FD4941">
      <w:pPr>
        <w:rPr>
          <w:lang w:val="en-US"/>
        </w:rPr>
      </w:pPr>
    </w:p>
    <w:p w14:paraId="33E7BB71" w14:textId="00CCC2B3" w:rsidR="00FD4941" w:rsidRPr="00752C8F" w:rsidRDefault="00FD4941">
      <w:pPr>
        <w:rPr>
          <w:lang w:val="en-US"/>
        </w:rPr>
      </w:pPr>
    </w:p>
    <w:sectPr w:rsidR="00FD4941" w:rsidRPr="00752C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500F"/>
    <w:multiLevelType w:val="hybridMultilevel"/>
    <w:tmpl w:val="D9F2DB26"/>
    <w:lvl w:ilvl="0" w:tplc="2A4C15B0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B452E"/>
    <w:multiLevelType w:val="hybridMultilevel"/>
    <w:tmpl w:val="4BFA1E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57079"/>
    <w:multiLevelType w:val="hybridMultilevel"/>
    <w:tmpl w:val="3E408A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F10085"/>
    <w:multiLevelType w:val="hybridMultilevel"/>
    <w:tmpl w:val="6A0A85DE"/>
    <w:lvl w:ilvl="0" w:tplc="2A4C15B0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446D69"/>
    <w:multiLevelType w:val="hybridMultilevel"/>
    <w:tmpl w:val="593846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637F41"/>
    <w:multiLevelType w:val="hybridMultilevel"/>
    <w:tmpl w:val="713EC6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49363F"/>
    <w:multiLevelType w:val="hybridMultilevel"/>
    <w:tmpl w:val="BAC0E1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875D04"/>
    <w:multiLevelType w:val="hybridMultilevel"/>
    <w:tmpl w:val="677EE8B0"/>
    <w:lvl w:ilvl="0" w:tplc="2A4C15B0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C31A66"/>
    <w:multiLevelType w:val="hybridMultilevel"/>
    <w:tmpl w:val="E88E5486"/>
    <w:lvl w:ilvl="0" w:tplc="2A4C15B0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B20C5D"/>
    <w:multiLevelType w:val="hybridMultilevel"/>
    <w:tmpl w:val="DABCEC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EF62B8"/>
    <w:multiLevelType w:val="hybridMultilevel"/>
    <w:tmpl w:val="0A26AD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FA4CA5"/>
    <w:multiLevelType w:val="hybridMultilevel"/>
    <w:tmpl w:val="F6AE1E06"/>
    <w:lvl w:ilvl="0" w:tplc="2A4C15B0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C2755C"/>
    <w:multiLevelType w:val="hybridMultilevel"/>
    <w:tmpl w:val="B21EAC0A"/>
    <w:lvl w:ilvl="0" w:tplc="2A4C15B0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7093507">
    <w:abstractNumId w:val="10"/>
  </w:num>
  <w:num w:numId="2" w16cid:durableId="78256141">
    <w:abstractNumId w:val="6"/>
  </w:num>
  <w:num w:numId="3" w16cid:durableId="499151559">
    <w:abstractNumId w:val="1"/>
  </w:num>
  <w:num w:numId="4" w16cid:durableId="98530383">
    <w:abstractNumId w:val="4"/>
  </w:num>
  <w:num w:numId="5" w16cid:durableId="1679111671">
    <w:abstractNumId w:val="3"/>
  </w:num>
  <w:num w:numId="6" w16cid:durableId="2049449254">
    <w:abstractNumId w:val="11"/>
  </w:num>
  <w:num w:numId="7" w16cid:durableId="1223836024">
    <w:abstractNumId w:val="7"/>
  </w:num>
  <w:num w:numId="8" w16cid:durableId="102263503">
    <w:abstractNumId w:val="8"/>
  </w:num>
  <w:num w:numId="9" w16cid:durableId="38743706">
    <w:abstractNumId w:val="12"/>
  </w:num>
  <w:num w:numId="10" w16cid:durableId="1871407030">
    <w:abstractNumId w:val="0"/>
  </w:num>
  <w:num w:numId="11" w16cid:durableId="1634216444">
    <w:abstractNumId w:val="9"/>
  </w:num>
  <w:num w:numId="12" w16cid:durableId="907618059">
    <w:abstractNumId w:val="2"/>
  </w:num>
  <w:num w:numId="13" w16cid:durableId="2537098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C8F"/>
    <w:rsid w:val="000036BB"/>
    <w:rsid w:val="00005184"/>
    <w:rsid w:val="000B7578"/>
    <w:rsid w:val="00115A92"/>
    <w:rsid w:val="001778EA"/>
    <w:rsid w:val="00182A02"/>
    <w:rsid w:val="00191A94"/>
    <w:rsid w:val="00282268"/>
    <w:rsid w:val="00290D93"/>
    <w:rsid w:val="002F3F20"/>
    <w:rsid w:val="0038086C"/>
    <w:rsid w:val="003E11B4"/>
    <w:rsid w:val="004156A6"/>
    <w:rsid w:val="00485312"/>
    <w:rsid w:val="004C1188"/>
    <w:rsid w:val="005076FE"/>
    <w:rsid w:val="0051415B"/>
    <w:rsid w:val="006419C3"/>
    <w:rsid w:val="0066774F"/>
    <w:rsid w:val="006D6954"/>
    <w:rsid w:val="00752C8F"/>
    <w:rsid w:val="00766130"/>
    <w:rsid w:val="007E5153"/>
    <w:rsid w:val="007F72BA"/>
    <w:rsid w:val="00831AB6"/>
    <w:rsid w:val="00844E1E"/>
    <w:rsid w:val="00917E37"/>
    <w:rsid w:val="00997D14"/>
    <w:rsid w:val="009E3190"/>
    <w:rsid w:val="00A03C09"/>
    <w:rsid w:val="00A25EAC"/>
    <w:rsid w:val="00A554C1"/>
    <w:rsid w:val="00B02BF5"/>
    <w:rsid w:val="00B80B3C"/>
    <w:rsid w:val="00CD43E1"/>
    <w:rsid w:val="00CD6A75"/>
    <w:rsid w:val="00D25E76"/>
    <w:rsid w:val="00D26F05"/>
    <w:rsid w:val="00E229E6"/>
    <w:rsid w:val="00E55188"/>
    <w:rsid w:val="00E81A8C"/>
    <w:rsid w:val="00ED64B9"/>
    <w:rsid w:val="00F33772"/>
    <w:rsid w:val="00F437BF"/>
    <w:rsid w:val="00FD4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EF07C"/>
  <w15:chartTrackingRefBased/>
  <w15:docId w15:val="{60B2DDC1-FFAB-4533-9178-98E46D4C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2C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C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C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C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52C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C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C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C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C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C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C8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90D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39"/>
    <w:rsid w:val="00E229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1230</Words>
  <Characters>7014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E9233</dc:creator>
  <cp:keywords/>
  <dc:description/>
  <cp:lastModifiedBy>E9233</cp:lastModifiedBy>
  <cp:revision>32</cp:revision>
  <dcterms:created xsi:type="dcterms:W3CDTF">2026-06-16T12:43:00Z</dcterms:created>
  <dcterms:modified xsi:type="dcterms:W3CDTF">2026-06-17T21:36:00Z</dcterms:modified>
</cp:coreProperties>
</file>