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1B6E7D"/>
          <w:spacing w:val="60"/>
          <w:sz w:val="20"/>
          <w:szCs w:val="20"/>
        </w:rPr>
        <w:t xml:space="preserve">NEOTEC INTEGRATED SOLUTIONS</w:t>
      </w:r>
    </w:p>
    <w:p>
      <w:pPr>
        <w:pBdr>
          <w:bottom w:val="single" w:color="12314F" w:sz="12" w:space="10"/>
        </w:pBdr>
        <w:spacing w:after="500" w:before="60"/>
      </w:pPr>
    </w:p>
    <w:p>
      <w:pPr>
        <w:spacing w:after="60"/>
      </w:pPr>
      <w:r>
        <w:rPr>
          <w:b/>
          <w:bCs/>
          <w:color w:val="12314F"/>
          <w:sz w:val="66"/>
          <w:szCs w:val="66"/>
        </w:rPr>
        <w:t xml:space="preserve">NeoGRC</w:t>
      </w:r>
    </w:p>
    <w:p>
      <w:pPr>
        <w:spacing w:after="420"/>
      </w:pPr>
      <w:r>
        <w:rPr>
          <w:color w:val="4A5C6A"/>
          <w:sz w:val="40"/>
          <w:szCs w:val="40"/>
        </w:rPr>
        <w:t xml:space="preserve">Implementor Manual</w:t>
      </w:r>
    </w:p>
    <w:p>
      <w:pPr>
        <w:spacing w:after="120"/>
      </w:pPr>
      <w:r>
        <w:rPr>
          <w:i/>
          <w:iCs/>
          <w:color w:val="4A5C6A"/>
          <w:sz w:val="24"/>
          <w:szCs w:val="24"/>
        </w:rPr>
        <w:t xml:space="preserve">Evidence-driven governance, risk and compliance for Frappe / ERPNext v15</w:t>
      </w:r>
    </w:p>
    <w:p>
      <w:pPr>
        <w:spacing w:after="1400"/>
      </w:pPr>
      <w:r>
        <w:rPr>
          <w:color w:val="4A5C6A"/>
          <w:sz w:val="20"/>
          <w:szCs w:val="20"/>
        </w:rPr>
        <w:t xml:space="preserve">Automated evidence collection · multi-framework crosswalk · gap assessment</w:t>
      </w:r>
    </w:p>
    <w:tbl>
      <w:tblPr>
        <w:tblW w:type="dxa" w:w="9360"/>
        <w:tblBorders>
          <w:top w:val="none"/>
          <w:left w:val="none"/>
          <w:bottom w:val="none"/>
          <w:right w:val="none"/>
          <w:insideH w:val="none"/>
          <w:insideV w:val="none"/>
        </w:tblBorders>
      </w:tblPr>
      <w:tblGrid>
        <w:gridCol w:w="2100"/>
        <w:gridCol w:w="7260"/>
      </w:tblGrid>
      <w:tr>
        <w:tc>
          <w:tcPr>
            <w:tcW w:type="dxa" w:w="2100"/>
            <w:tcMar>
              <w:top w:type="dxa" w:w="40"/>
              <w:left w:type="dxa" w:w="0"/>
              <w:bottom w:type="dxa" w:w="40"/>
              <w:right w:type="dxa" w:w="60"/>
            </w:tcMar>
          </w:tcPr>
          <w:p>
            <w:pPr>
              <w:spacing w:after="0"/>
            </w:pPr>
            <w:r>
              <w:rPr>
                <w:color w:val="4A5C6A"/>
                <w:sz w:val="18"/>
                <w:szCs w:val="18"/>
              </w:rPr>
              <w:t xml:space="preserve">Application</w:t>
            </w:r>
          </w:p>
        </w:tc>
        <w:tc>
          <w:tcPr>
            <w:tcW w:type="dxa" w:w="7260"/>
            <w:tcMar>
              <w:top w:type="dxa" w:w="40"/>
              <w:left w:type="dxa" w:w="0"/>
              <w:bottom w:type="dxa" w:w="40"/>
              <w:right w:type="dxa" w:w="0"/>
            </w:tcMar>
          </w:tcPr>
          <w:p>
            <w:pPr>
              <w:spacing w:after="0"/>
            </w:pPr>
            <w:r>
              <w:rPr>
                <w:rFonts w:ascii="Consolas" w:cs="Consolas" w:eastAsia="Consolas" w:hAnsi="Consolas"/>
                <w:sz w:val="18"/>
                <w:szCs w:val="18"/>
              </w:rPr>
              <w:t xml:space="preserve">neogrc</w:t>
            </w:r>
          </w:p>
        </w:tc>
      </w:tr>
      <w:tr>
        <w:tc>
          <w:tcPr>
            <w:tcW w:type="dxa" w:w="2100"/>
            <w:tcMar>
              <w:top w:type="dxa" w:w="40"/>
              <w:left w:type="dxa" w:w="0"/>
              <w:bottom w:type="dxa" w:w="40"/>
              <w:right w:type="dxa" w:w="60"/>
            </w:tcMar>
          </w:tcPr>
          <w:p>
            <w:pPr>
              <w:spacing w:after="0"/>
            </w:pPr>
            <w:r>
              <w:rPr>
                <w:color w:val="4A5C6A"/>
                <w:sz w:val="18"/>
                <w:szCs w:val="18"/>
              </w:rPr>
              <w:t xml:space="preserve">Version</w:t>
            </w:r>
          </w:p>
        </w:tc>
        <w:tc>
          <w:tcPr>
            <w:tcW w:type="dxa" w:w="7260"/>
            <w:tcMar>
              <w:top w:type="dxa" w:w="40"/>
              <w:left w:type="dxa" w:w="0"/>
              <w:bottom w:type="dxa" w:w="40"/>
              <w:right w:type="dxa" w:w="0"/>
            </w:tcMar>
          </w:tcPr>
          <w:p>
            <w:pPr>
              <w:spacing w:after="0"/>
            </w:pPr>
            <w:r>
              <w:rPr>
                <w:sz w:val="18"/>
                <w:szCs w:val="18"/>
              </w:rPr>
              <w:t xml:space="preserve">0.2.0</w:t>
            </w:r>
          </w:p>
        </w:tc>
      </w:tr>
      <w:tr>
        <w:tc>
          <w:tcPr>
            <w:tcW w:type="dxa" w:w="2100"/>
            <w:tcMar>
              <w:top w:type="dxa" w:w="40"/>
              <w:left w:type="dxa" w:w="0"/>
              <w:bottom w:type="dxa" w:w="40"/>
              <w:right w:type="dxa" w:w="60"/>
            </w:tcMar>
          </w:tcPr>
          <w:p>
            <w:pPr>
              <w:spacing w:after="0"/>
            </w:pPr>
            <w:r>
              <w:rPr>
                <w:color w:val="4A5C6A"/>
                <w:sz w:val="18"/>
                <w:szCs w:val="18"/>
              </w:rPr>
              <w:t xml:space="preserve">Target platform</w:t>
            </w:r>
          </w:p>
        </w:tc>
        <w:tc>
          <w:tcPr>
            <w:tcW w:type="dxa" w:w="7260"/>
            <w:tcMar>
              <w:top w:type="dxa" w:w="40"/>
              <w:left w:type="dxa" w:w="0"/>
              <w:bottom w:type="dxa" w:w="40"/>
              <w:right w:type="dxa" w:w="0"/>
            </w:tcMar>
          </w:tcPr>
          <w:p>
            <w:pPr>
              <w:spacing w:after="0"/>
            </w:pPr>
            <w:r>
              <w:rPr>
                <w:sz w:val="18"/>
                <w:szCs w:val="18"/>
              </w:rPr>
              <w:t xml:space="preserve">Frappe / ERPNext v15</w:t>
            </w:r>
          </w:p>
        </w:tc>
      </w:tr>
      <w:tr>
        <w:tc>
          <w:tcPr>
            <w:tcW w:type="dxa" w:w="2100"/>
            <w:tcMar>
              <w:top w:type="dxa" w:w="40"/>
              <w:left w:type="dxa" w:w="0"/>
              <w:bottom w:type="dxa" w:w="40"/>
              <w:right w:type="dxa" w:w="60"/>
            </w:tcMar>
          </w:tcPr>
          <w:p>
            <w:pPr>
              <w:spacing w:after="0"/>
            </w:pPr>
            <w:r>
              <w:rPr>
                <w:color w:val="4A5C6A"/>
                <w:sz w:val="18"/>
                <w:szCs w:val="18"/>
              </w:rPr>
              <w:t xml:space="preserve">Licence</w:t>
            </w:r>
          </w:p>
        </w:tc>
        <w:tc>
          <w:tcPr>
            <w:tcW w:type="dxa" w:w="7260"/>
            <w:tcMar>
              <w:top w:type="dxa" w:w="40"/>
              <w:left w:type="dxa" w:w="0"/>
              <w:bottom w:type="dxa" w:w="40"/>
              <w:right w:type="dxa" w:w="0"/>
            </w:tcMar>
          </w:tcPr>
          <w:p>
            <w:pPr>
              <w:spacing w:after="0"/>
            </w:pPr>
            <w:r>
              <w:rPr>
                <w:sz w:val="18"/>
                <w:szCs w:val="18"/>
              </w:rPr>
              <w:t xml:space="preserve">MIT</w:t>
            </w:r>
          </w:p>
        </w:tc>
      </w:tr>
      <w:tr>
        <w:tc>
          <w:tcPr>
            <w:tcW w:type="dxa" w:w="2100"/>
            <w:tcMar>
              <w:top w:type="dxa" w:w="40"/>
              <w:left w:type="dxa" w:w="0"/>
              <w:bottom w:type="dxa" w:w="40"/>
              <w:right w:type="dxa" w:w="60"/>
            </w:tcMar>
          </w:tcPr>
          <w:p>
            <w:pPr>
              <w:spacing w:after="0"/>
            </w:pPr>
            <w:r>
              <w:rPr>
                <w:color w:val="4A5C6A"/>
                <w:sz w:val="18"/>
                <w:szCs w:val="18"/>
              </w:rPr>
              <w:t xml:space="preserve">Document date</w:t>
            </w:r>
          </w:p>
        </w:tc>
        <w:tc>
          <w:tcPr>
            <w:tcW w:type="dxa" w:w="7260"/>
            <w:tcMar>
              <w:top w:type="dxa" w:w="40"/>
              <w:left w:type="dxa" w:w="0"/>
              <w:bottom w:type="dxa" w:w="40"/>
              <w:right w:type="dxa" w:w="0"/>
            </w:tcMar>
          </w:tcPr>
          <w:p>
            <w:pPr>
              <w:spacing w:after="0"/>
            </w:pPr>
            <w:r>
              <w:rPr>
                <w:sz w:val="18"/>
                <w:szCs w:val="18"/>
              </w:rPr>
              <w:t xml:space="preserve">12 August 2026</w:t>
            </w:r>
          </w:p>
        </w:tc>
      </w:tr>
      <w:tr>
        <w:tc>
          <w:tcPr>
            <w:tcW w:type="dxa" w:w="2100"/>
            <w:tcMar>
              <w:top w:type="dxa" w:w="40"/>
              <w:left w:type="dxa" w:w="0"/>
              <w:bottom w:type="dxa" w:w="40"/>
              <w:right w:type="dxa" w:w="60"/>
            </w:tcMar>
          </w:tcPr>
          <w:p>
            <w:pPr>
              <w:spacing w:after="0"/>
            </w:pPr>
            <w:r>
              <w:rPr>
                <w:color w:val="4A5C6A"/>
                <w:sz w:val="18"/>
                <w:szCs w:val="18"/>
              </w:rPr>
              <w:t xml:space="preserve">Audience</w:t>
            </w:r>
          </w:p>
        </w:tc>
        <w:tc>
          <w:tcPr>
            <w:tcW w:type="dxa" w:w="7260"/>
            <w:tcMar>
              <w:top w:type="dxa" w:w="40"/>
              <w:left w:type="dxa" w:w="0"/>
              <w:bottom w:type="dxa" w:w="40"/>
              <w:right w:type="dxa" w:w="0"/>
            </w:tcMar>
          </w:tcPr>
          <w:p>
            <w:pPr>
              <w:spacing w:after="0"/>
            </w:pPr>
            <w:r>
              <w:rPr>
                <w:sz w:val="18"/>
                <w:szCs w:val="18"/>
              </w:rPr>
              <w:t xml:space="preserve">Implementation consultants and site administrators</w:t>
            </w:r>
          </w:p>
        </w:tc>
      </w:tr>
    </w:tbl>
    <w:p>
      <w:r>
        <w:br w:type="page"/>
      </w:r>
    </w:p>
    <w:p>
      <w:pPr>
        <w:sectPr>
          <w:pgSz w:w="12240" w:h="15840" w:orient="portrait"/>
          <w:pgMar w:top="1440" w:right="1440" w:bottom="1440" w:left="1440" w:header="708" w:footer="708" w:gutter="0"/>
          <w:pgNumType/>
          <w:docGrid w:linePitch="360"/>
        </w:sectPr>
      </w:pPr>
    </w:p>
    <w:p>
      <w:pPr>
        <w:pBdr>
          <w:bottom w:val="single" w:color="1B6E7D" w:sz="10" w:space="8"/>
        </w:pBdr>
        <w:spacing w:after="180"/>
      </w:pPr>
      <w:r>
        <w:rPr>
          <w:b/>
          <w:bCs/>
          <w:color w:val="12314F"/>
          <w:sz w:val="32"/>
          <w:szCs w:val="32"/>
        </w:rPr>
        <w:t xml:space="preserve">Contents</w:t>
      </w:r>
    </w:p>
    <w:p>
      <w:pPr>
        <w:spacing w:after="16" w:before="76"/>
      </w:pPr>
      <w:r>
        <w:rPr>
          <w:b/>
          <w:bCs/>
          <w:color w:val="1B6E7D"/>
          <w:sz w:val="21"/>
          <w:szCs w:val="21"/>
        </w:rPr>
        <w:t xml:space="preserve">1 </w:t>
      </w:r>
      <w:r>
        <w:rPr>
          <w:b/>
          <w:bCs/>
          <w:color w:val="12314F"/>
          <w:sz w:val="21"/>
          <w:szCs w:val="21"/>
        </w:rPr>
        <w:t xml:space="preserve">Introduction</w:t>
      </w:r>
    </w:p>
    <w:p>
      <w:pPr>
        <w:spacing w:after="6" w:line="216"/>
        <w:ind w:left="440"/>
      </w:pPr>
      <w:r>
        <w:rPr>
          <w:color w:val="4A5C6A"/>
          <w:sz w:val="18"/>
          <w:szCs w:val="18"/>
        </w:rPr>
        <w:t xml:space="preserve">1.1  What problem this solves</w:t>
      </w:r>
    </w:p>
    <w:p>
      <w:pPr>
        <w:spacing w:after="6" w:line="216"/>
        <w:ind w:left="440"/>
      </w:pPr>
      <w:r>
        <w:rPr>
          <w:color w:val="4A5C6A"/>
          <w:sz w:val="18"/>
          <w:szCs w:val="18"/>
        </w:rPr>
        <w:t xml:space="preserve">1.2  What it is not</w:t>
      </w:r>
    </w:p>
    <w:p>
      <w:pPr>
        <w:spacing w:after="6" w:line="216"/>
        <w:ind w:left="440"/>
      </w:pPr>
      <w:r>
        <w:rPr>
          <w:color w:val="4A5C6A"/>
          <w:sz w:val="18"/>
          <w:szCs w:val="18"/>
        </w:rPr>
        <w:t xml:space="preserve">1.3  Relationship to AlphaX GRC</w:t>
      </w:r>
    </w:p>
    <w:p>
      <w:pPr>
        <w:spacing w:after="16" w:before="76"/>
      </w:pPr>
      <w:r>
        <w:rPr>
          <w:b/>
          <w:bCs/>
          <w:color w:val="1B6E7D"/>
          <w:sz w:val="21"/>
          <w:szCs w:val="21"/>
        </w:rPr>
        <w:t xml:space="preserve">2 </w:t>
      </w:r>
      <w:r>
        <w:rPr>
          <w:b/>
          <w:bCs/>
          <w:color w:val="12314F"/>
          <w:sz w:val="21"/>
          <w:szCs w:val="21"/>
        </w:rPr>
        <w:t xml:space="preserve">Architecture</w:t>
      </w:r>
    </w:p>
    <w:p>
      <w:pPr>
        <w:spacing w:after="6" w:line="216"/>
        <w:ind w:left="440"/>
      </w:pPr>
      <w:r>
        <w:rPr>
          <w:color w:val="4A5C6A"/>
          <w:sz w:val="18"/>
          <w:szCs w:val="18"/>
        </w:rPr>
        <w:t xml:space="preserve">2.1  Separation of collection from interpretation</w:t>
      </w:r>
    </w:p>
    <w:p>
      <w:pPr>
        <w:spacing w:after="6" w:line="216"/>
        <w:ind w:left="440"/>
      </w:pPr>
      <w:r>
        <w:rPr>
          <w:color w:val="4A5C6A"/>
          <w:sz w:val="18"/>
          <w:szCs w:val="18"/>
        </w:rPr>
        <w:t xml:space="preserve">2.2  Data model</w:t>
      </w:r>
    </w:p>
    <w:p>
      <w:pPr>
        <w:spacing w:after="6" w:line="216"/>
        <w:ind w:left="440"/>
      </w:pPr>
      <w:r>
        <w:rPr>
          <w:color w:val="4A5C6A"/>
          <w:sz w:val="18"/>
          <w:szCs w:val="18"/>
        </w:rPr>
        <w:t xml:space="preserve">2.3  Engineering conventions</w:t>
      </w:r>
    </w:p>
    <w:p>
      <w:pPr>
        <w:spacing w:after="16" w:before="76"/>
      </w:pPr>
      <w:r>
        <w:rPr>
          <w:b/>
          <w:bCs/>
          <w:color w:val="1B6E7D"/>
          <w:sz w:val="21"/>
          <w:szCs w:val="21"/>
        </w:rPr>
        <w:t xml:space="preserve">3 </w:t>
      </w:r>
      <w:r>
        <w:rPr>
          <w:b/>
          <w:bCs/>
          <w:color w:val="12314F"/>
          <w:sz w:val="21"/>
          <w:szCs w:val="21"/>
        </w:rPr>
        <w:t xml:space="preserve">Installation</w:t>
      </w:r>
    </w:p>
    <w:p>
      <w:pPr>
        <w:spacing w:after="6" w:line="216"/>
        <w:ind w:left="440"/>
      </w:pPr>
      <w:r>
        <w:rPr>
          <w:color w:val="4A5C6A"/>
          <w:sz w:val="18"/>
          <w:szCs w:val="18"/>
        </w:rPr>
        <w:t xml:space="preserve">3.1  Prerequisites</w:t>
      </w:r>
    </w:p>
    <w:p>
      <w:pPr>
        <w:spacing w:after="6" w:line="216"/>
        <w:ind w:left="440"/>
      </w:pPr>
      <w:r>
        <w:rPr>
          <w:color w:val="4A5C6A"/>
          <w:sz w:val="18"/>
          <w:szCs w:val="18"/>
        </w:rPr>
        <w:t xml:space="preserve">3.2  Install</w:t>
      </w:r>
    </w:p>
    <w:p>
      <w:pPr>
        <w:spacing w:after="6" w:line="216"/>
        <w:ind w:left="440"/>
      </w:pPr>
      <w:r>
        <w:rPr>
          <w:color w:val="4A5C6A"/>
          <w:sz w:val="18"/>
          <w:szCs w:val="18"/>
        </w:rPr>
        <w:t xml:space="preserve">3.3  What install creates</w:t>
      </w:r>
    </w:p>
    <w:p>
      <w:pPr>
        <w:spacing w:after="6" w:line="216"/>
        <w:ind w:left="440"/>
      </w:pPr>
      <w:r>
        <w:rPr>
          <w:color w:val="4A5C6A"/>
          <w:sz w:val="18"/>
          <w:szCs w:val="18"/>
        </w:rPr>
        <w:t xml:space="preserve">3.4  First run without credentials</w:t>
      </w:r>
    </w:p>
    <w:p>
      <w:pPr>
        <w:spacing w:after="6" w:line="216"/>
        <w:ind w:left="440"/>
      </w:pPr>
      <w:r>
        <w:rPr>
          <w:color w:val="4A5C6A"/>
          <w:sz w:val="18"/>
          <w:szCs w:val="18"/>
        </w:rPr>
        <w:t xml:space="preserve">3.5  Uninstall</w:t>
      </w:r>
    </w:p>
    <w:p>
      <w:pPr>
        <w:spacing w:after="16" w:before="76"/>
      </w:pPr>
      <w:r>
        <w:rPr>
          <w:b/>
          <w:bCs/>
          <w:color w:val="1B6E7D"/>
          <w:sz w:val="21"/>
          <w:szCs w:val="21"/>
        </w:rPr>
        <w:t xml:space="preserve">4 </w:t>
      </w:r>
      <w:r>
        <w:rPr>
          <w:b/>
          <w:bCs/>
          <w:color w:val="12314F"/>
          <w:sz w:val="21"/>
          <w:szCs w:val="21"/>
        </w:rPr>
        <w:t xml:space="preserve">Roles and permissions</w:t>
      </w:r>
    </w:p>
    <w:p>
      <w:pPr>
        <w:spacing w:after="6" w:line="216"/>
        <w:ind w:left="440"/>
      </w:pPr>
      <w:r>
        <w:rPr>
          <w:color w:val="4A5C6A"/>
          <w:sz w:val="18"/>
          <w:szCs w:val="18"/>
        </w:rPr>
        <w:t xml:space="preserve">4.1  Segregation of duties on exceptions</w:t>
      </w:r>
    </w:p>
    <w:p>
      <w:pPr>
        <w:spacing w:after="16" w:before="76"/>
      </w:pPr>
      <w:r>
        <w:rPr>
          <w:b/>
          <w:bCs/>
          <w:color w:val="1B6E7D"/>
          <w:sz w:val="21"/>
          <w:szCs w:val="21"/>
        </w:rPr>
        <w:t xml:space="preserve">5 </w:t>
      </w:r>
      <w:r>
        <w:rPr>
          <w:b/>
          <w:bCs/>
          <w:color w:val="12314F"/>
          <w:sz w:val="21"/>
          <w:szCs w:val="21"/>
        </w:rPr>
        <w:t xml:space="preserve">Evidence collection</w:t>
      </w:r>
    </w:p>
    <w:p>
      <w:pPr>
        <w:spacing w:after="6" w:line="216"/>
        <w:ind w:left="440"/>
      </w:pPr>
      <w:r>
        <w:rPr>
          <w:color w:val="4A5C6A"/>
          <w:sz w:val="18"/>
          <w:szCs w:val="18"/>
        </w:rPr>
        <w:t xml:space="preserve">5.1  Connectors, fetchers and sets</w:t>
      </w:r>
    </w:p>
    <w:p>
      <w:pPr>
        <w:spacing w:after="6" w:line="216"/>
        <w:ind w:left="440"/>
      </w:pPr>
      <w:r>
        <w:rPr>
          <w:color w:val="4A5C6A"/>
          <w:sz w:val="18"/>
          <w:szCs w:val="18"/>
        </w:rPr>
        <w:t xml:space="preserve">5.2  Seeded connectors</w:t>
      </w:r>
    </w:p>
    <w:p>
      <w:pPr>
        <w:spacing w:after="6" w:line="216"/>
        <w:ind w:left="440"/>
      </w:pPr>
      <w:r>
        <w:rPr>
          <w:color w:val="4A5C6A"/>
          <w:sz w:val="18"/>
          <w:szCs w:val="18"/>
        </w:rPr>
        <w:t xml:space="preserve">5.3  The internal connector</w:t>
      </w:r>
    </w:p>
    <w:p>
      <w:pPr>
        <w:spacing w:after="6" w:line="216"/>
        <w:ind w:left="440"/>
      </w:pPr>
      <w:r>
        <w:rPr>
          <w:color w:val="4A5C6A"/>
          <w:sz w:val="18"/>
          <w:szCs w:val="18"/>
        </w:rPr>
        <w:t xml:space="preserve">5.4  Preflight</w:t>
      </w:r>
    </w:p>
    <w:p>
      <w:pPr>
        <w:spacing w:after="6" w:line="216"/>
        <w:ind w:left="440"/>
      </w:pPr>
      <w:r>
        <w:rPr>
          <w:color w:val="4A5C6A"/>
          <w:sz w:val="18"/>
          <w:szCs w:val="18"/>
        </w:rPr>
        <w:t xml:space="preserve">5.5  Exit codes</w:t>
      </w:r>
    </w:p>
    <w:p>
      <w:pPr>
        <w:spacing w:after="6" w:line="216"/>
        <w:ind w:left="440"/>
      </w:pPr>
      <w:r>
        <w:rPr>
          <w:color w:val="4A5C6A"/>
          <w:sz w:val="18"/>
          <w:szCs w:val="18"/>
        </w:rPr>
        <w:t xml:space="preserve">5.6  Declarative query fetchers</w:t>
      </w:r>
    </w:p>
    <w:p>
      <w:pPr>
        <w:spacing w:after="6" w:line="216"/>
        <w:ind w:left="440"/>
      </w:pPr>
      <w:r>
        <w:rPr>
          <w:color w:val="4A5C6A"/>
          <w:sz w:val="18"/>
          <w:szCs w:val="18"/>
        </w:rPr>
        <w:t xml:space="preserve">5.7  Validation rules</w:t>
      </w:r>
    </w:p>
    <w:p>
      <w:pPr>
        <w:spacing w:after="6" w:line="216"/>
        <w:ind w:left="440"/>
      </w:pPr>
      <w:r>
        <w:rPr>
          <w:color w:val="4A5C6A"/>
          <w:sz w:val="18"/>
          <w:szCs w:val="18"/>
        </w:rPr>
        <w:t xml:space="preserve">5.8  Shell fetcher sandboxing</w:t>
      </w:r>
    </w:p>
    <w:p>
      <w:pPr>
        <w:spacing w:after="16" w:before="76"/>
      </w:pPr>
      <w:r>
        <w:rPr>
          <w:b/>
          <w:bCs/>
          <w:color w:val="1B6E7D"/>
          <w:sz w:val="21"/>
          <w:szCs w:val="21"/>
        </w:rPr>
        <w:t xml:space="preserve">6 </w:t>
      </w:r>
      <w:r>
        <w:rPr>
          <w:b/>
          <w:bCs/>
          <w:color w:val="12314F"/>
          <w:sz w:val="21"/>
          <w:szCs w:val="21"/>
        </w:rPr>
        <w:t xml:space="preserve">The finding contract</w:t>
      </w:r>
    </w:p>
    <w:p>
      <w:pPr>
        <w:spacing w:after="6" w:line="216"/>
        <w:ind w:left="440"/>
      </w:pPr>
      <w:r>
        <w:rPr>
          <w:color w:val="4A5C6A"/>
          <w:sz w:val="18"/>
          <w:szCs w:val="18"/>
        </w:rPr>
        <w:t xml:space="preserve">6.1  Status and severity are independent</w:t>
      </w:r>
    </w:p>
    <w:p>
      <w:pPr>
        <w:spacing w:after="6" w:line="216"/>
        <w:ind w:left="440"/>
      </w:pPr>
      <w:r>
        <w:rPr>
          <w:color w:val="4A5C6A"/>
          <w:sz w:val="18"/>
          <w:szCs w:val="18"/>
        </w:rPr>
        <w:t xml:space="preserve">6.2  Contract rules enforced at ingest</w:t>
      </w:r>
    </w:p>
    <w:p>
      <w:pPr>
        <w:spacing w:after="6" w:line="216"/>
        <w:ind w:left="440"/>
      </w:pPr>
      <w:r>
        <w:rPr>
          <w:color w:val="4A5C6A"/>
          <w:sz w:val="18"/>
          <w:szCs w:val="18"/>
        </w:rPr>
        <w:t xml:space="preserve">6.3  Ingest API</w:t>
      </w:r>
    </w:p>
    <w:p>
      <w:pPr>
        <w:spacing w:after="16" w:before="76"/>
      </w:pPr>
      <w:r>
        <w:rPr>
          <w:b/>
          <w:bCs/>
          <w:color w:val="1B6E7D"/>
          <w:sz w:val="21"/>
          <w:szCs w:val="21"/>
        </w:rPr>
        <w:t xml:space="preserve">7 </w:t>
      </w:r>
      <w:r>
        <w:rPr>
          <w:b/>
          <w:bCs/>
          <w:color w:val="12314F"/>
          <w:sz w:val="21"/>
          <w:szCs w:val="21"/>
        </w:rPr>
        <w:t xml:space="preserve">Crosswalk and gap assessment</w:t>
      </w:r>
    </w:p>
    <w:p>
      <w:pPr>
        <w:spacing w:after="6" w:line="216"/>
        <w:ind w:left="440"/>
      </w:pPr>
      <w:r>
        <w:rPr>
          <w:color w:val="4A5C6A"/>
          <w:sz w:val="18"/>
          <w:szCs w:val="18"/>
        </w:rPr>
        <w:t xml:space="preserve">7.1  Two-hop resolution</w:t>
      </w:r>
    </w:p>
    <w:p>
      <w:pPr>
        <w:spacing w:after="6" w:line="216"/>
        <w:ind w:left="440"/>
      </w:pPr>
      <w:r>
        <w:rPr>
          <w:color w:val="4A5C6A"/>
          <w:sz w:val="18"/>
          <w:szCs w:val="18"/>
        </w:rPr>
        <w:t xml:space="preserve">7.2  Running an assessment</w:t>
      </w:r>
    </w:p>
    <w:p>
      <w:pPr>
        <w:spacing w:after="6" w:line="216"/>
        <w:ind w:left="440"/>
      </w:pPr>
      <w:r>
        <w:rPr>
          <w:color w:val="4A5C6A"/>
          <w:sz w:val="18"/>
          <w:szCs w:val="18"/>
        </w:rPr>
        <w:t xml:space="preserve">7.3  How controls are scored</w:t>
      </w:r>
    </w:p>
    <w:p>
      <w:pPr>
        <w:spacing w:after="6" w:line="216"/>
        <w:ind w:left="440"/>
      </w:pPr>
      <w:r>
        <w:rPr>
          <w:color w:val="4A5C6A"/>
          <w:sz w:val="18"/>
          <w:szCs w:val="18"/>
        </w:rPr>
        <w:t xml:space="preserve">7.4  Multi-framework optimisation</w:t>
      </w:r>
    </w:p>
    <w:p>
      <w:pPr>
        <w:spacing w:after="16" w:before="76"/>
      </w:pPr>
      <w:r>
        <w:rPr>
          <w:b/>
          <w:bCs/>
          <w:color w:val="1B6E7D"/>
          <w:sz w:val="21"/>
          <w:szCs w:val="21"/>
        </w:rPr>
        <w:t xml:space="preserve">8 </w:t>
      </w:r>
      <w:r>
        <w:rPr>
          <w:b/>
          <w:bCs/>
          <w:color w:val="12314F"/>
          <w:sz w:val="21"/>
          <w:szCs w:val="21"/>
        </w:rPr>
        <w:t xml:space="preserve">Operations</w:t>
      </w:r>
    </w:p>
    <w:p>
      <w:pPr>
        <w:spacing w:after="6" w:line="216"/>
        <w:ind w:left="440"/>
      </w:pPr>
      <w:r>
        <w:rPr>
          <w:color w:val="4A5C6A"/>
          <w:sz w:val="18"/>
          <w:szCs w:val="18"/>
        </w:rPr>
        <w:t xml:space="preserve">8.1  Scheduled jobs</w:t>
      </w:r>
    </w:p>
    <w:p>
      <w:pPr>
        <w:spacing w:after="6" w:line="216"/>
        <w:ind w:left="440"/>
      </w:pPr>
      <w:r>
        <w:rPr>
          <w:color w:val="4A5C6A"/>
          <w:sz w:val="18"/>
          <w:szCs w:val="18"/>
        </w:rPr>
        <w:t xml:space="preserve">8.2  Reports</w:t>
      </w:r>
    </w:p>
    <w:p>
      <w:pPr>
        <w:spacing w:after="6" w:line="216"/>
        <w:ind w:left="440"/>
      </w:pPr>
      <w:r>
        <w:rPr>
          <w:color w:val="4A5C6A"/>
          <w:sz w:val="18"/>
          <w:szCs w:val="18"/>
        </w:rPr>
        <w:t xml:space="preserve">8.3  Data residency</w:t>
      </w:r>
    </w:p>
    <w:p>
      <w:pPr>
        <w:spacing w:after="6" w:line="216"/>
        <w:ind w:left="440"/>
      </w:pPr>
      <w:r>
        <w:rPr>
          <w:color w:val="4A5C6A"/>
          <w:sz w:val="18"/>
          <w:szCs w:val="18"/>
        </w:rPr>
        <w:t xml:space="preserve">8.4  Troubleshooting</w:t>
      </w:r>
    </w:p>
    <w:p>
      <w:pPr>
        <w:spacing w:after="16" w:before="76"/>
      </w:pPr>
      <w:r>
        <w:rPr>
          <w:b/>
          <w:bCs/>
          <w:color w:val="1B6E7D"/>
          <w:sz w:val="21"/>
          <w:szCs w:val="21"/>
        </w:rPr>
        <w:t xml:space="preserve">9 </w:t>
      </w:r>
      <w:r>
        <w:rPr>
          <w:b/>
          <w:bCs/>
          <w:color w:val="12314F"/>
          <w:sz w:val="21"/>
          <w:szCs w:val="21"/>
        </w:rPr>
        <w:t xml:space="preserve">Licensing and attribution</w:t>
      </w:r>
    </w:p>
    <w:p>
      <w:pPr>
        <w:spacing w:after="6" w:line="216"/>
        <w:ind w:left="440"/>
      </w:pPr>
      <w:r>
        <w:rPr>
          <w:color w:val="4A5C6A"/>
          <w:sz w:val="18"/>
          <w:szCs w:val="18"/>
        </w:rPr>
        <w:t xml:space="preserve">9.1  Framework status</w:t>
      </w:r>
    </w:p>
    <w:p>
      <w:pPr>
        <w:spacing w:after="6" w:line="216"/>
        <w:ind w:left="440"/>
      </w:pPr>
      <w:r>
        <w:rPr>
          <w:color w:val="4A5C6A"/>
          <w:sz w:val="18"/>
          <w:szCs w:val="18"/>
        </w:rPr>
        <w:t xml:space="preserve">9.2  Loading licensed text</w:t>
      </w:r>
    </w:p>
    <w:p>
      <w:pPr>
        <w:spacing w:after="6" w:line="216"/>
        <w:ind w:left="440"/>
      </w:pPr>
      <w:r>
        <w:rPr>
          <w:color w:val="4A5C6A"/>
          <w:sz w:val="18"/>
          <w:szCs w:val="18"/>
        </w:rPr>
        <w:t xml:space="preserve">9.3  The build-time guard</w:t>
      </w:r>
    </w:p>
    <w:p>
      <w:pPr>
        <w:spacing w:after="6" w:line="216"/>
        <w:ind w:left="440"/>
      </w:pPr>
      <w:r>
        <w:rPr>
          <w:color w:val="4A5C6A"/>
          <w:sz w:val="18"/>
          <w:szCs w:val="18"/>
        </w:rPr>
        <w:t xml:space="preserve">9.4  Reference projects</w:t>
      </w:r>
    </w:p>
    <w:p>
      <w:pPr>
        <w:spacing w:after="16" w:before="76"/>
      </w:pPr>
      <w:r>
        <w:rPr>
          <w:b/>
          <w:bCs/>
          <w:color w:val="1B6E7D"/>
          <w:sz w:val="21"/>
          <w:szCs w:val="21"/>
        </w:rPr>
        <w:t xml:space="preserve">10 </w:t>
      </w:r>
      <w:r>
        <w:rPr>
          <w:b/>
          <w:bCs/>
          <w:color w:val="12314F"/>
          <w:sz w:val="21"/>
          <w:szCs w:val="21"/>
        </w:rPr>
        <w:t xml:space="preserve">Extending the application</w:t>
      </w:r>
    </w:p>
    <w:p>
      <w:pPr>
        <w:spacing w:after="6" w:line="216"/>
        <w:ind w:left="440"/>
      </w:pPr>
      <w:r>
        <w:rPr>
          <w:color w:val="4A5C6A"/>
          <w:sz w:val="18"/>
          <w:szCs w:val="18"/>
        </w:rPr>
        <w:t xml:space="preserve">10.1  Adding a connector</w:t>
      </w:r>
    </w:p>
    <w:p>
      <w:pPr>
        <w:spacing w:after="6" w:line="216"/>
        <w:ind w:left="440"/>
      </w:pPr>
      <w:r>
        <w:rPr>
          <w:color w:val="4A5C6A"/>
          <w:sz w:val="18"/>
          <w:szCs w:val="18"/>
        </w:rPr>
        <w:t xml:space="preserve">10.2  Adding a framework</w:t>
      </w:r>
    </w:p>
    <w:p>
      <w:pPr>
        <w:spacing w:after="6" w:line="216"/>
        <w:ind w:left="440"/>
      </w:pPr>
      <w:r>
        <w:rPr>
          <w:color w:val="4A5C6A"/>
          <w:sz w:val="18"/>
          <w:szCs w:val="18"/>
        </w:rPr>
        <w:t xml:space="preserve">10.3  Development checks</w:t>
      </w:r>
    </w:p>
    <w:p>
      <w:pPr>
        <w:spacing w:after="6" w:line="216"/>
        <w:ind w:left="440"/>
      </w:pPr>
      <w:r>
        <w:rPr>
          <w:color w:val="4A5C6A"/>
          <w:sz w:val="18"/>
          <w:szCs w:val="18"/>
        </w:rPr>
        <w:t xml:space="preserve">10.4  Suggested next steps</w:t>
      </w:r>
    </w:p>
    <w:p>
      <w:pPr>
        <w:spacing w:before="130"/>
      </w:pPr>
      <w:r>
        <w:rPr>
          <w:i/>
          <w:iCs/>
          <w:color w:val="4A5C6A"/>
          <w:sz w:val="17"/>
          <w:szCs w:val="17"/>
        </w:rPr>
        <w:t xml:space="preserve">Figures: 1 architecture · 2 data model · 3 evidence run lifecycle · 4 crosswalk resolution · 5 gap assessment scoring</w:t>
      </w:r>
    </w:p>
    <w:p>
      <w:r>
        <w:br w:type="page"/>
      </w:r>
    </w:p>
    <w:p>
      <w:pPr>
        <w:pStyle w:val="Heading1"/>
        <w:pageBreakBefore/>
        <w:pBdr>
          <w:bottom w:val="single" w:color="1B6E7D" w:sz="10" w:space="8"/>
        </w:pBdr>
        <w:spacing w:after="240" w:before="0"/>
      </w:pPr>
      <w:r>
        <w:rPr>
          <w:b/>
          <w:bCs/>
          <w:color w:val="12314F"/>
          <w:sz w:val="36"/>
          <w:szCs w:val="36"/>
        </w:rPr>
        <w:t xml:space="preserve">1  Introduction</w:t>
      </w:r>
    </w:p>
    <w:p>
      <w:pPr>
        <w:spacing w:after="140" w:line="276"/>
      </w:pPr>
      <w:r>
        <w:rPr>
          <w:color w:val="1A1A1A"/>
          <w:sz w:val="21"/>
          <w:szCs w:val="21"/>
        </w:rPr>
        <w:t xml:space="preserve">NeoGRC is a Frappe v15 application that turns technical evidence into defensible compliance positions. Connectors collect evidence from systems that already exist in the estate. Validation rules decide whether that evidence demonstrates a control. Findings are recorded against a versioned data contract, expanded through a control crosswalk, and scored into a gap assessment you can put in front of an auditor.</w:t>
      </w:r>
    </w:p>
    <w:p>
      <w:pPr>
        <w:spacing w:after="140" w:line="276"/>
      </w:pPr>
      <w:r>
        <w:rPr>
          <w:color w:val="1A1A1A"/>
          <w:sz w:val="21"/>
          <w:szCs w:val="21"/>
        </w:rPr>
        <w:t xml:space="preserve">The design assumption throughout is that compliance evidence has to survive being questioned. A screenshot in a shared folder does not. A hashed artifact, attached to a timestamped run, produced by a named fetcher, validated by a stated rule, mapped to a specific control, does.</w:t>
      </w:r>
    </w:p>
    <w:p>
      <w:pPr>
        <w:pStyle w:val="Heading2"/>
        <w:spacing w:after="140" w:before="320"/>
      </w:pPr>
      <w:r>
        <w:rPr>
          <w:b/>
          <w:bCs/>
          <w:color w:val="12314F"/>
          <w:sz w:val="26"/>
          <w:szCs w:val="26"/>
        </w:rPr>
        <w:t xml:space="preserve">1.1  What problem this solves</w:t>
      </w:r>
    </w:p>
    <w:p>
      <w:pPr>
        <w:spacing w:after="140" w:line="276"/>
      </w:pPr>
      <w:r>
        <w:rPr>
          <w:color w:val="1A1A1A"/>
          <w:sz w:val="21"/>
          <w:szCs w:val="21"/>
        </w:rPr>
        <w:t xml:space="preserve">An organisation certifying against several frameworks at once — say NCA ECC-2 for the regulator, ISO 27001 for customers, and PCI DSS for the acquiring bank — will typically run three evidence collection exercises, produce three binders, and discover the same encryption control three times. The cost is not the certification; it is the triplication.</w:t>
      </w:r>
    </w:p>
    <w:p>
      <w:pPr>
        <w:spacing w:after="140" w:line="276"/>
      </w:pPr>
      <w:r>
        <w:rPr>
          <w:color w:val="1A1A1A"/>
          <w:sz w:val="21"/>
          <w:szCs w:val="21"/>
        </w:rPr>
        <w:t xml:space="preserve">This application collapses that. A connector emits one finding against one canonical control. The crosswalk resolves it into every framework that control touches. One collection run answers all of them.</w:t>
      </w:r>
    </w:p>
    <w:p>
      <w:pPr>
        <w:pStyle w:val="Heading2"/>
        <w:spacing w:after="140" w:before="320"/>
      </w:pPr>
      <w:r>
        <w:rPr>
          <w:b/>
          <w:bCs/>
          <w:color w:val="12314F"/>
          <w:sz w:val="26"/>
          <w:szCs w:val="26"/>
        </w:rPr>
        <w:t xml:space="preserve">1.2  What it is not</w:t>
      </w:r>
    </w:p>
    <w:p>
      <w:pPr>
        <w:pStyle w:val="ListParagraph"/>
        <w:numPr>
          <w:ilvl w:val="0"/>
          <w:numId w:val="2"/>
        </w:numPr>
        <w:spacing w:after="90" w:line="264"/>
      </w:pPr>
      <w:r>
        <w:rPr>
          <w:sz w:val="21"/>
          <w:szCs w:val="21"/>
        </w:rPr>
        <w:t xml:space="preserve">It is not a policy management system with an approval workflow bolted on. Policies exist here as records that evidence can attach to, not as a document management product.</w:t>
      </w:r>
    </w:p>
    <w:p>
      <w:pPr>
        <w:pStyle w:val="ListParagraph"/>
        <w:numPr>
          <w:ilvl w:val="0"/>
          <w:numId w:val="2"/>
        </w:numPr>
        <w:spacing w:after="90" w:line="264"/>
      </w:pPr>
      <w:r>
        <w:rPr>
          <w:sz w:val="21"/>
          <w:szCs w:val="21"/>
        </w:rPr>
        <w:t xml:space="preserve">It is not an agent. Nothing is installed on monitored hosts. Collection is pull-based, from the site outward, using credentials the site owner provisions.</w:t>
      </w:r>
    </w:p>
    <w:p>
      <w:pPr>
        <w:pStyle w:val="ListParagraph"/>
        <w:numPr>
          <w:ilvl w:val="0"/>
          <w:numId w:val="2"/>
        </w:numPr>
        <w:spacing w:after="90" w:line="264"/>
      </w:pPr>
      <w:r>
        <w:rPr>
          <w:sz w:val="21"/>
          <w:szCs w:val="21"/>
        </w:rPr>
        <w:t xml:space="preserve">It does not ship the normative text of any licensed standard. See section 9.</w:t>
      </w:r>
    </w:p>
    <w:p>
      <w:pPr>
        <w:pStyle w:val="ListParagraph"/>
        <w:numPr>
          <w:ilvl w:val="0"/>
          <w:numId w:val="2"/>
        </w:numPr>
        <w:spacing w:after="90" w:line="264"/>
      </w:pPr>
      <w:r>
        <w:rPr>
          <w:sz w:val="21"/>
          <w:szCs w:val="21"/>
        </w:rPr>
        <w:t xml:space="preserve">It does not replace an auditor's judgement. It produces the evidence an auditor asks for, and shows honestly where evidence is absent.</w:t>
      </w:r>
    </w:p>
    <w:p>
      <w:pPr>
        <w:pStyle w:val="Heading2"/>
        <w:spacing w:after="140" w:before="320"/>
      </w:pPr>
      <w:r>
        <w:rPr>
          <w:b/>
          <w:bCs/>
          <w:color w:val="12314F"/>
          <w:sz w:val="26"/>
          <w:szCs w:val="26"/>
        </w:rPr>
        <w:t xml:space="preserve">1.3  Relationship to AlphaX GRC</w:t>
      </w:r>
    </w:p>
    <w:p>
      <w:pPr>
        <w:spacing w:after="140" w:line="276"/>
      </w:pPr>
      <w:r>
        <w:rPr>
          <w:color w:val="1A1A1A"/>
          <w:sz w:val="21"/>
          <w:szCs w:val="21"/>
        </w:rPr>
        <w:t xml:space="preserve">AlphaX GRC covers governance and risk quantification — the programme layer. NeoGRC covers the engineering layer beneath it: automated evidence, connector findings, crosswalk, and gap assessment. The two are independent apps with no hard dependency, and either can be installed alone.</w:t>
      </w:r>
    </w:p>
    <w:p>
      <w:pPr>
        <w:spacing w:after="140" w:line="276"/>
      </w:pPr>
      <w:r>
        <w:rPr>
          <w:color w:val="1A1A1A"/>
          <w:sz w:val="21"/>
          <w:szCs w:val="21"/>
        </w:rPr>
        <w:t xml:space="preserve">If both are installed and you prefer a single control register, make the AlphaX GRC control set the canonical framework in GRC Engine Settings. Nothing else in the application changes; the crosswalk simply pivots through a different hub.</w:t>
      </w:r>
    </w:p>
    <w:p>
      <w:pPr>
        <w:pStyle w:val="Heading1"/>
        <w:pageBreakBefore/>
        <w:pBdr>
          <w:bottom w:val="single" w:color="1B6E7D" w:sz="10" w:space="8"/>
        </w:pBdr>
        <w:spacing w:after="240" w:before="0"/>
      </w:pPr>
      <w:r>
        <w:rPr>
          <w:b/>
          <w:bCs/>
          <w:color w:val="12314F"/>
          <w:sz w:val="36"/>
          <w:szCs w:val="36"/>
        </w:rPr>
        <w:t xml:space="preserve">2  Architecture</w:t>
      </w:r>
    </w:p>
    <w:p>
      <w:pPr>
        <w:spacing w:after="80" w:before="200"/>
        <w:jc w:val="center"/>
      </w:pPr>
      <w:r>
        <w:drawing>
          <wp:inline distT="0" distB="0" distL="0" distR="0">
            <wp:extent cx="59055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86275"/>
                    </a:xfrm>
                    <a:prstGeom prst="rect">
                      <a:avLst/>
                    </a:prstGeom>
                  </pic:spPr>
                </pic:pic>
              </a:graphicData>
            </a:graphic>
          </wp:inline>
        </w:drawing>
      </w:r>
    </w:p>
    <w:p>
      <w:pPr>
        <w:spacing w:after="260"/>
        <w:jc w:val="center"/>
      </w:pPr>
      <w:r>
        <w:rPr>
          <w:i/>
          <w:iCs/>
          <w:color w:val="4A5C6A"/>
          <w:sz w:val="16"/>
          <w:szCs w:val="16"/>
        </w:rPr>
        <w:t xml:space="preserve">Figure 1 — End-to-end architecture, from source systems to assurance output</w:t>
      </w:r>
    </w:p>
    <w:p>
      <w:pPr>
        <w:spacing w:after="140" w:line="276"/>
      </w:pPr>
      <w:r>
        <w:rPr>
          <w:color w:val="1A1A1A"/>
          <w:sz w:val="21"/>
          <w:szCs w:val="21"/>
        </w:rPr>
        <w:t xml:space="preserve">Five layers, each with a single responsibility.</w:t>
      </w:r>
    </w:p>
    <w:tbl>
      <w:tblPr>
        <w:tblW w:type="dxa" w:w="9360"/>
        <w:tblBorders>
          <w:top w:val="single" w:color="C9D0D6" w:sz="4"/>
          <w:left w:val="none"/>
          <w:bottom w:val="single" w:color="C9D0D6" w:sz="4"/>
          <w:right w:val="none"/>
          <w:insideH w:val="single" w:color="DDE2E6" w:sz="2"/>
          <w:insideV w:val="none"/>
        </w:tblBorders>
      </w:tblPr>
      <w:tblGrid>
        <w:gridCol w:w="1498"/>
        <w:gridCol w:w="4306"/>
        <w:gridCol w:w="3556"/>
      </w:tblGrid>
      <w:tr>
        <w:trPr>
          <w:tblHeader/>
        </w:trPr>
        <w:tc>
          <w:tcPr>
            <w:tcW w:type="dxa" w:w="1498"/>
            <w:shd w:fill="12314F" w:val="clear"/>
            <w:tcMar>
              <w:top w:type="dxa" w:w="90"/>
              <w:left w:type="dxa" w:w="120"/>
              <w:bottom w:type="dxa" w:w="90"/>
              <w:right w:type="dxa" w:w="120"/>
            </w:tcMar>
            <w:vAlign w:val="center"/>
          </w:tcPr>
          <w:p>
            <w:pPr>
              <w:spacing w:after="0" w:line="258"/>
            </w:pPr>
            <w:r>
              <w:rPr>
                <w:b/>
                <w:bCs/>
                <w:color w:val="FFFFFF"/>
                <w:sz w:val="18"/>
                <w:szCs w:val="18"/>
              </w:rPr>
              <w:t xml:space="preserve">Layer</w:t>
            </w:r>
          </w:p>
        </w:tc>
        <w:tc>
          <w:tcPr>
            <w:tcW w:type="dxa" w:w="4306"/>
            <w:shd w:fill="12314F" w:val="clear"/>
            <w:tcMar>
              <w:top w:type="dxa" w:w="90"/>
              <w:left w:type="dxa" w:w="120"/>
              <w:bottom w:type="dxa" w:w="90"/>
              <w:right w:type="dxa" w:w="120"/>
            </w:tcMar>
            <w:vAlign w:val="center"/>
          </w:tcPr>
          <w:p>
            <w:pPr>
              <w:spacing w:after="0" w:line="258"/>
            </w:pPr>
            <w:r>
              <w:rPr>
                <w:b/>
                <w:bCs/>
                <w:color w:val="FFFFFF"/>
                <w:sz w:val="18"/>
                <w:szCs w:val="18"/>
              </w:rPr>
              <w:t xml:space="preserve">Responsibility</w:t>
            </w:r>
          </w:p>
        </w:tc>
        <w:tc>
          <w:tcPr>
            <w:tcW w:type="dxa" w:w="3556"/>
            <w:shd w:fill="12314F" w:val="clear"/>
            <w:tcMar>
              <w:top w:type="dxa" w:w="90"/>
              <w:left w:type="dxa" w:w="120"/>
              <w:bottom w:type="dxa" w:w="90"/>
              <w:right w:type="dxa" w:w="120"/>
            </w:tcMar>
            <w:vAlign w:val="center"/>
          </w:tcPr>
          <w:p>
            <w:pPr>
              <w:spacing w:after="0" w:line="258"/>
            </w:pPr>
            <w:r>
              <w:rPr>
                <w:b/>
                <w:bCs/>
                <w:color w:val="FFFFFF"/>
                <w:sz w:val="18"/>
                <w:szCs w:val="18"/>
              </w:rPr>
              <w:t xml:space="preserve">Key DocTypes</w:t>
            </w:r>
          </w:p>
        </w:tc>
      </w:tr>
      <w:tr>
        <w:tc>
          <w:tcPr>
            <w:tcW w:type="dxa" w:w="1498"/>
            <w:shd w:fill="FFFFFF" w:val="clear"/>
            <w:tcMar>
              <w:top w:type="dxa" w:w="90"/>
              <w:left w:type="dxa" w:w="120"/>
              <w:bottom w:type="dxa" w:w="90"/>
              <w:right w:type="dxa" w:w="120"/>
            </w:tcMar>
            <w:vAlign w:val="center"/>
          </w:tcPr>
          <w:p>
            <w:pPr>
              <w:spacing w:after="0" w:line="258"/>
            </w:pPr>
            <w:r>
              <w:rPr>
                <w:color w:val="1A1A1A"/>
                <w:sz w:val="19"/>
                <w:szCs w:val="19"/>
              </w:rPr>
              <w:t xml:space="preserve">Sources</w:t>
            </w:r>
          </w:p>
        </w:tc>
        <w:tc>
          <w:tcPr>
            <w:tcW w:type="dxa" w:w="4306"/>
            <w:shd w:fill="FFFFFF" w:val="clear"/>
            <w:tcMar>
              <w:top w:type="dxa" w:w="90"/>
              <w:left w:type="dxa" w:w="120"/>
              <w:bottom w:type="dxa" w:w="90"/>
              <w:right w:type="dxa" w:w="120"/>
            </w:tcMar>
            <w:vAlign w:val="center"/>
          </w:tcPr>
          <w:p>
            <w:pPr>
              <w:spacing w:after="0" w:line="258"/>
            </w:pPr>
            <w:r>
              <w:rPr>
                <w:color w:val="1A1A1A"/>
                <w:sz w:val="19"/>
                <w:szCs w:val="19"/>
              </w:rPr>
              <w:t xml:space="preserve">Systems that hold the truth. Not modified by this app.</w:t>
            </w:r>
          </w:p>
        </w:tc>
        <w:tc>
          <w:tcPr>
            <w:tcW w:type="dxa" w:w="3556"/>
            <w:shd w:fill="FFFFFF" w:val="clear"/>
            <w:tcMar>
              <w:top w:type="dxa" w:w="90"/>
              <w:left w:type="dxa" w:w="120"/>
              <w:bottom w:type="dxa" w:w="90"/>
              <w:right w:type="dxa" w:w="120"/>
            </w:tcMar>
            <w:vAlign w:val="center"/>
          </w:tcPr>
          <w:p>
            <w:pPr>
              <w:spacing w:after="0" w:line="258"/>
            </w:pPr>
            <w:r>
              <w:rPr>
                <w:color w:val="1A1A1A"/>
                <w:sz w:val="19"/>
                <w:szCs w:val="19"/>
              </w:rPr>
              <w:t xml:space="preserve">—</w:t>
            </w:r>
          </w:p>
        </w:tc>
      </w:tr>
      <w:tr>
        <w:tc>
          <w:tcPr>
            <w:tcW w:type="dxa" w:w="1498"/>
            <w:shd w:fill="F7F6F3" w:val="clear"/>
            <w:tcMar>
              <w:top w:type="dxa" w:w="90"/>
              <w:left w:type="dxa" w:w="120"/>
              <w:bottom w:type="dxa" w:w="90"/>
              <w:right w:type="dxa" w:w="120"/>
            </w:tcMar>
            <w:vAlign w:val="center"/>
          </w:tcPr>
          <w:p>
            <w:pPr>
              <w:spacing w:after="0" w:line="258"/>
            </w:pPr>
            <w:r>
              <w:rPr>
                <w:color w:val="1A1A1A"/>
                <w:sz w:val="19"/>
                <w:szCs w:val="19"/>
              </w:rPr>
              <w:t xml:space="preserve">Collection</w:t>
            </w:r>
          </w:p>
        </w:tc>
        <w:tc>
          <w:tcPr>
            <w:tcW w:type="dxa" w:w="4306"/>
            <w:shd w:fill="F7F6F3" w:val="clear"/>
            <w:tcMar>
              <w:top w:type="dxa" w:w="90"/>
              <w:left w:type="dxa" w:w="120"/>
              <w:bottom w:type="dxa" w:w="90"/>
              <w:right w:type="dxa" w:w="120"/>
            </w:tcMar>
            <w:vAlign w:val="center"/>
          </w:tcPr>
          <w:p>
            <w:pPr>
              <w:spacing w:after="0" w:line="258"/>
            </w:pPr>
            <w:r>
              <w:rPr>
                <w:color w:val="1A1A1A"/>
                <w:sz w:val="19"/>
                <w:szCs w:val="19"/>
              </w:rPr>
              <w:t xml:space="preserve">Describes what to collect, from where, how often, and with what credentials.</w:t>
            </w:r>
          </w:p>
        </w:tc>
        <w:tc>
          <w:tcPr>
            <w:tcW w:type="dxa" w:w="3556"/>
            <w:shd w:fill="F7F6F3" w:val="clear"/>
            <w:tcMar>
              <w:top w:type="dxa" w:w="90"/>
              <w:left w:type="dxa" w:w="120"/>
              <w:bottom w:type="dxa" w:w="90"/>
              <w:right w:type="dxa" w:w="120"/>
            </w:tcMar>
            <w:vAlign w:val="center"/>
          </w:tcPr>
          <w:p>
            <w:pPr>
              <w:spacing w:after="0" w:line="258"/>
            </w:pPr>
            <w:r>
              <w:rPr>
                <w:color w:val="1A1A1A"/>
                <w:sz w:val="19"/>
                <w:szCs w:val="19"/>
              </w:rPr>
              <w:t xml:space="preserve">NeoGRC Connector, GRC Evidence Fetcher, GRC Evidence Set</w:t>
            </w:r>
          </w:p>
        </w:tc>
      </w:tr>
      <w:tr>
        <w:tc>
          <w:tcPr>
            <w:tcW w:type="dxa" w:w="1498"/>
            <w:shd w:fill="FFFFFF" w:val="clear"/>
            <w:tcMar>
              <w:top w:type="dxa" w:w="90"/>
              <w:left w:type="dxa" w:w="120"/>
              <w:bottom w:type="dxa" w:w="90"/>
              <w:right w:type="dxa" w:w="120"/>
            </w:tcMar>
            <w:vAlign w:val="center"/>
          </w:tcPr>
          <w:p>
            <w:pPr>
              <w:spacing w:after="0" w:line="258"/>
            </w:pPr>
            <w:r>
              <w:rPr>
                <w:color w:val="1A1A1A"/>
                <w:sz w:val="19"/>
                <w:szCs w:val="19"/>
              </w:rPr>
              <w:t xml:space="preserve">Engine</w:t>
            </w:r>
          </w:p>
        </w:tc>
        <w:tc>
          <w:tcPr>
            <w:tcW w:type="dxa" w:w="4306"/>
            <w:shd w:fill="FFFFFF" w:val="clear"/>
            <w:tcMar>
              <w:top w:type="dxa" w:w="90"/>
              <w:left w:type="dxa" w:w="120"/>
              <w:bottom w:type="dxa" w:w="90"/>
              <w:right w:type="dxa" w:w="120"/>
            </w:tcMar>
            <w:vAlign w:val="center"/>
          </w:tcPr>
          <w:p>
            <w:pPr>
              <w:spacing w:after="0" w:line="258"/>
            </w:pPr>
            <w:r>
              <w:rPr>
                <w:color w:val="1A1A1A"/>
                <w:sz w:val="19"/>
                <w:szCs w:val="19"/>
              </w:rPr>
              <w:t xml:space="preserve">Executes collection, validates output, enforces the data contract.</w:t>
            </w:r>
          </w:p>
        </w:tc>
        <w:tc>
          <w:tcPr>
            <w:tcW w:type="dxa" w:w="3556"/>
            <w:shd w:fill="FFFFFF" w:val="clear"/>
            <w:tcMar>
              <w:top w:type="dxa" w:w="90"/>
              <w:left w:type="dxa" w:w="120"/>
              <w:bottom w:type="dxa" w:w="90"/>
              <w:right w:type="dxa" w:w="120"/>
            </w:tcMar>
            <w:vAlign w:val="center"/>
          </w:tcPr>
          <w:p>
            <w:pPr>
              <w:spacing w:after="0" w:line="258"/>
            </w:pPr>
            <w:r>
              <w:rPr>
                <w:color w:val="1A1A1A"/>
                <w:sz w:val="19"/>
                <w:szCs w:val="19"/>
              </w:rPr>
              <w:t xml:space="preserve">NeoGRC Evidence Run, GRC Evidence Artifact</w:t>
            </w:r>
          </w:p>
        </w:tc>
      </w:tr>
      <w:tr>
        <w:tc>
          <w:tcPr>
            <w:tcW w:type="dxa" w:w="1498"/>
            <w:shd w:fill="F7F6F3" w:val="clear"/>
            <w:tcMar>
              <w:top w:type="dxa" w:w="90"/>
              <w:left w:type="dxa" w:w="120"/>
              <w:bottom w:type="dxa" w:w="90"/>
              <w:right w:type="dxa" w:w="120"/>
            </w:tcMar>
            <w:vAlign w:val="center"/>
          </w:tcPr>
          <w:p>
            <w:pPr>
              <w:spacing w:after="0" w:line="258"/>
            </w:pPr>
            <w:r>
              <w:rPr>
                <w:color w:val="1A1A1A"/>
                <w:sz w:val="19"/>
                <w:szCs w:val="19"/>
              </w:rPr>
              <w:t xml:space="preserve">Normalisation</w:t>
            </w:r>
          </w:p>
        </w:tc>
        <w:tc>
          <w:tcPr>
            <w:tcW w:type="dxa" w:w="4306"/>
            <w:shd w:fill="F7F6F3" w:val="clear"/>
            <w:tcMar>
              <w:top w:type="dxa" w:w="90"/>
              <w:left w:type="dxa" w:w="120"/>
              <w:bottom w:type="dxa" w:w="90"/>
              <w:right w:type="dxa" w:w="120"/>
            </w:tcMar>
            <w:vAlign w:val="center"/>
          </w:tcPr>
          <w:p>
            <w:pPr>
              <w:spacing w:after="0" w:line="258"/>
            </w:pPr>
            <w:r>
              <w:rPr>
                <w:color w:val="1A1A1A"/>
                <w:sz w:val="19"/>
                <w:szCs w:val="19"/>
              </w:rPr>
              <w:t xml:space="preserve">Converts raw results into control-scoped findings and expands them across frameworks.</w:t>
            </w:r>
          </w:p>
        </w:tc>
        <w:tc>
          <w:tcPr>
            <w:tcW w:type="dxa" w:w="3556"/>
            <w:shd w:fill="F7F6F3" w:val="clear"/>
            <w:tcMar>
              <w:top w:type="dxa" w:w="90"/>
              <w:left w:type="dxa" w:w="120"/>
              <w:bottom w:type="dxa" w:w="90"/>
              <w:right w:type="dxa" w:w="120"/>
            </w:tcMar>
            <w:vAlign w:val="center"/>
          </w:tcPr>
          <w:p>
            <w:pPr>
              <w:spacing w:after="0" w:line="258"/>
            </w:pPr>
            <w:r>
              <w:rPr>
                <w:color w:val="1A1A1A"/>
                <w:sz w:val="19"/>
                <w:szCs w:val="19"/>
              </w:rPr>
              <w:t xml:space="preserve">NeoGRC Finding, GRC Control, GRC Control Crosswalk</w:t>
            </w:r>
          </w:p>
        </w:tc>
      </w:tr>
      <w:tr>
        <w:tc>
          <w:tcPr>
            <w:tcW w:type="dxa" w:w="1498"/>
            <w:shd w:fill="FFFFFF" w:val="clear"/>
            <w:tcMar>
              <w:top w:type="dxa" w:w="90"/>
              <w:left w:type="dxa" w:w="120"/>
              <w:bottom w:type="dxa" w:w="90"/>
              <w:right w:type="dxa" w:w="120"/>
            </w:tcMar>
            <w:vAlign w:val="center"/>
          </w:tcPr>
          <w:p>
            <w:pPr>
              <w:spacing w:after="0" w:line="258"/>
            </w:pPr>
            <w:r>
              <w:rPr>
                <w:color w:val="1A1A1A"/>
                <w:sz w:val="19"/>
                <w:szCs w:val="19"/>
              </w:rPr>
              <w:t xml:space="preserve">Output</w:t>
            </w:r>
          </w:p>
        </w:tc>
        <w:tc>
          <w:tcPr>
            <w:tcW w:type="dxa" w:w="4306"/>
            <w:shd w:fill="FFFFFF" w:val="clear"/>
            <w:tcMar>
              <w:top w:type="dxa" w:w="90"/>
              <w:left w:type="dxa" w:w="120"/>
              <w:bottom w:type="dxa" w:w="90"/>
              <w:right w:type="dxa" w:w="120"/>
            </w:tcMar>
            <w:vAlign w:val="center"/>
          </w:tcPr>
          <w:p>
            <w:pPr>
              <w:spacing w:after="0" w:line="258"/>
            </w:pPr>
            <w:r>
              <w:rPr>
                <w:color w:val="1A1A1A"/>
                <w:sz w:val="19"/>
                <w:szCs w:val="19"/>
              </w:rPr>
              <w:t xml:space="preserve">Scores the position and reports it.</w:t>
            </w:r>
          </w:p>
        </w:tc>
        <w:tc>
          <w:tcPr>
            <w:tcW w:type="dxa" w:w="3556"/>
            <w:shd w:fill="FFFFFF" w:val="clear"/>
            <w:tcMar>
              <w:top w:type="dxa" w:w="90"/>
              <w:left w:type="dxa" w:w="120"/>
              <w:bottom w:type="dxa" w:w="90"/>
              <w:right w:type="dxa" w:w="120"/>
            </w:tcMar>
            <w:vAlign w:val="center"/>
          </w:tcPr>
          <w:p>
            <w:pPr>
              <w:spacing w:after="0" w:line="258"/>
            </w:pPr>
            <w:r>
              <w:rPr>
                <w:color w:val="1A1A1A"/>
                <w:sz w:val="19"/>
                <w:szCs w:val="19"/>
              </w:rPr>
              <w:t xml:space="preserve">NeoGRC Gap Assessment, GRC Metric, Script Reports</w:t>
            </w:r>
          </w:p>
        </w:tc>
      </w:tr>
    </w:tbl>
    <w:p>
      <w:pPr>
        <w:pStyle w:val="Heading2"/>
        <w:spacing w:after="140" w:before="320"/>
      </w:pPr>
      <w:r>
        <w:rPr>
          <w:b/>
          <w:bCs/>
          <w:color w:val="12314F"/>
          <w:sz w:val="26"/>
          <w:szCs w:val="26"/>
        </w:rPr>
        <w:t xml:space="preserve">2.1  Separation of collection from interpretation</w:t>
      </w:r>
    </w:p>
    <w:p>
      <w:pPr>
        <w:spacing w:after="140" w:line="276"/>
      </w:pPr>
      <w:r>
        <w:rPr>
          <w:color w:val="1A1A1A"/>
          <w:sz w:val="21"/>
          <w:szCs w:val="21"/>
        </w:rPr>
        <w:t xml:space="preserve">A connector never needs to know which frameworks the organisation reports against. It emits a result against a canonical control identifier and stops there. Framework resolution happens later, in the crosswalk, entirely inside this application.</w:t>
      </w:r>
    </w:p>
    <w:p>
      <w:pPr>
        <w:spacing w:after="140" w:line="276"/>
      </w:pPr>
      <w:r>
        <w:rPr>
          <w:color w:val="1A1A1A"/>
          <w:sz w:val="21"/>
          <w:szCs w:val="21"/>
        </w:rPr>
        <w:t xml:space="preserve">This matters operationally more than it sounds. When the organisation adds PCI DSS to its obligations next year, no connector is touched and no evidence is re-collected. You add crosswalk edges. The existing evidence starts answering the new framework the same day.</w:t>
      </w:r>
    </w:p>
    <w:p>
      <w:pPr>
        <w:pStyle w:val="Heading2"/>
        <w:spacing w:after="140" w:before="320"/>
      </w:pPr>
      <w:r>
        <w:rPr>
          <w:b/>
          <w:bCs/>
          <w:color w:val="12314F"/>
          <w:sz w:val="26"/>
          <w:szCs w:val="26"/>
        </w:rPr>
        <w:t xml:space="preserve">2.2  Data model</w:t>
      </w:r>
    </w:p>
    <w:p>
      <w:pPr>
        <w:spacing w:after="80" w:before="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43300"/>
                    </a:xfrm>
                    <a:prstGeom prst="rect">
                      <a:avLst/>
                    </a:prstGeom>
                  </pic:spPr>
                </pic:pic>
              </a:graphicData>
            </a:graphic>
          </wp:inline>
        </w:drawing>
      </w:r>
    </w:p>
    <w:p>
      <w:pPr>
        <w:spacing w:after="260"/>
        <w:jc w:val="center"/>
      </w:pPr>
      <w:r>
        <w:rPr>
          <w:i/>
          <w:iCs/>
          <w:color w:val="4A5C6A"/>
          <w:sz w:val="16"/>
          <w:szCs w:val="16"/>
        </w:rPr>
        <w:t xml:space="preserve">Figure 2 — The 31 DocTypes, grouped by role. Child tables are marked with a leading dot.</w:t>
      </w:r>
    </w:p>
    <w:p>
      <w:pPr>
        <w:spacing w:after="140" w:line="276"/>
      </w:pPr>
      <w:r>
        <w:rPr>
          <w:color w:val="1A1A1A"/>
          <w:sz w:val="21"/>
          <w:szCs w:val="21"/>
        </w:rPr>
        <w:t xml:space="preserve">Thirty-one DocTypes across five groups. The control backbone is master data seeded at install. The evidence group is configuration the implementor builds. Findings and assessment are transactional. The programme group holds the GRC records that give findings business context — risks, exceptions, vendors, policies and metrics.</w:t>
      </w:r>
    </w:p>
    <w:p>
      <w:pPr>
        <w:pStyle w:val="Heading2"/>
        <w:spacing w:after="140" w:before="320"/>
      </w:pPr>
      <w:r>
        <w:rPr>
          <w:b/>
          <w:bCs/>
          <w:color w:val="12314F"/>
          <w:sz w:val="26"/>
          <w:szCs w:val="26"/>
        </w:rPr>
        <w:t xml:space="preserve">2.3  Engineering conventions</w:t>
      </w:r>
    </w:p>
    <w:tbl>
      <w:tblPr>
        <w:tblW w:type="dxa" w:w="9360"/>
        <w:tblBorders>
          <w:top w:val="single" w:color="C9D0D6" w:sz="4"/>
          <w:left w:val="none"/>
          <w:bottom w:val="single" w:color="C9D0D6" w:sz="4"/>
          <w:right w:val="none"/>
          <w:insideH w:val="single" w:color="DDE2E6" w:sz="2"/>
          <w:insideV w:val="none"/>
        </w:tblBorders>
      </w:tblPr>
      <w:tblGrid>
        <w:gridCol w:w="3370"/>
        <w:gridCol w:w="5990"/>
      </w:tblGrid>
      <w:tr>
        <w:trPr>
          <w:tblHeader/>
        </w:trPr>
        <w:tc>
          <w:tcPr>
            <w:tcW w:type="dxa" w:w="3370"/>
            <w:shd w:fill="12314F" w:val="clear"/>
            <w:tcMar>
              <w:top w:type="dxa" w:w="90"/>
              <w:left w:type="dxa" w:w="120"/>
              <w:bottom w:type="dxa" w:w="90"/>
              <w:right w:type="dxa" w:w="120"/>
            </w:tcMar>
            <w:vAlign w:val="center"/>
          </w:tcPr>
          <w:p>
            <w:pPr>
              <w:spacing w:after="0" w:line="258"/>
            </w:pPr>
            <w:r>
              <w:rPr>
                <w:b/>
                <w:bCs/>
                <w:color w:val="FFFFFF"/>
                <w:sz w:val="18"/>
                <w:szCs w:val="18"/>
              </w:rPr>
              <w:t xml:space="preserve">Convention</w:t>
            </w:r>
          </w:p>
        </w:tc>
        <w:tc>
          <w:tcPr>
            <w:tcW w:type="dxa" w:w="5990"/>
            <w:shd w:fill="12314F" w:val="clear"/>
            <w:tcMar>
              <w:top w:type="dxa" w:w="90"/>
              <w:left w:type="dxa" w:w="120"/>
              <w:bottom w:type="dxa" w:w="90"/>
              <w:right w:type="dxa" w:w="120"/>
            </w:tcMar>
            <w:vAlign w:val="center"/>
          </w:tcPr>
          <w:p>
            <w:pPr>
              <w:spacing w:after="0" w:line="258"/>
            </w:pPr>
            <w:r>
              <w:rPr>
                <w:b/>
                <w:bCs/>
                <w:color w:val="FFFFFF"/>
                <w:sz w:val="18"/>
                <w:szCs w:val="18"/>
              </w:rPr>
              <w:t xml:space="preserve">Rationale</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No Server Scripts. All logic in versioned Python controllers.</w:t>
            </w:r>
          </w:p>
        </w:tc>
        <w:tc>
          <w:tcPr>
            <w:tcW w:type="dxa" w:w="5990"/>
            <w:shd w:fill="FFFFFF" w:val="clear"/>
            <w:tcMar>
              <w:top w:type="dxa" w:w="90"/>
              <w:left w:type="dxa" w:w="120"/>
              <w:bottom w:type="dxa" w:w="90"/>
              <w:right w:type="dxa" w:w="120"/>
            </w:tcMar>
            <w:vAlign w:val="center"/>
          </w:tcPr>
          <w:p>
            <w:pPr>
              <w:spacing w:after="0" w:line="258"/>
            </w:pPr>
            <w:r>
              <w:rPr>
                <w:color w:val="1A1A1A"/>
                <w:sz w:val="19"/>
                <w:szCs w:val="19"/>
              </w:rPr>
              <w:t xml:space="preserve">Server Scripts are site data, not code. They do not appear in a diff, do not survive a fresh install, and cannot be reviewed before deployment.</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Patches declared under [post_model_sync].</w:t>
            </w:r>
          </w:p>
        </w:tc>
        <w:tc>
          <w:tcPr>
            <w:tcW w:type="dxa" w:w="5990"/>
            <w:shd w:fill="F7F6F3" w:val="clear"/>
            <w:tcMar>
              <w:top w:type="dxa" w:w="90"/>
              <w:left w:type="dxa" w:w="120"/>
              <w:bottom w:type="dxa" w:w="90"/>
              <w:right w:type="dxa" w:w="120"/>
            </w:tcMar>
            <w:vAlign w:val="center"/>
          </w:tcPr>
          <w:p>
            <w:pPr>
              <w:spacing w:after="0" w:line="258"/>
            </w:pPr>
            <w:r>
              <w:rPr>
                <w:color w:val="1A1A1A"/>
                <w:sz w:val="19"/>
                <w:szCs w:val="19"/>
              </w:rPr>
              <w:t xml:space="preserve">Every seeder writes to DocTypes that the same migrate creates. Under [pre_model_sync] they would run against tables that do not yet exist.</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Idempotent after_install and after_migrate.</w:t>
            </w:r>
          </w:p>
        </w:tc>
        <w:tc>
          <w:tcPr>
            <w:tcW w:type="dxa" w:w="5990"/>
            <w:shd w:fill="FFFFFF" w:val="clear"/>
            <w:tcMar>
              <w:top w:type="dxa" w:w="90"/>
              <w:left w:type="dxa" w:w="120"/>
              <w:bottom w:type="dxa" w:w="90"/>
              <w:right w:type="dxa" w:w="120"/>
            </w:tcMar>
            <w:vAlign w:val="center"/>
          </w:tcPr>
          <w:p>
            <w:pPr>
              <w:spacing w:after="0" w:line="258"/>
            </w:pPr>
            <w:r>
              <w:rPr>
                <w:color w:val="1A1A1A"/>
                <w:sz w:val="19"/>
                <w:szCs w:val="19"/>
              </w:rPr>
              <w:t xml:space="preserve">Seeders create if missing and never overwrite. A customer who edits a seeded control keeps that edit through every subsequent upgrade.</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Heavy operations are background jobs.</w:t>
            </w:r>
          </w:p>
        </w:tc>
        <w:tc>
          <w:tcPr>
            <w:tcW w:type="dxa" w:w="5990"/>
            <w:shd w:fill="F7F6F3" w:val="clear"/>
            <w:tcMar>
              <w:top w:type="dxa" w:w="90"/>
              <w:left w:type="dxa" w:w="120"/>
              <w:bottom w:type="dxa" w:w="90"/>
              <w:right w:type="dxa" w:w="120"/>
            </w:tcMar>
            <w:vAlign w:val="center"/>
          </w:tcPr>
          <w:p>
            <w:pPr>
              <w:spacing w:after="0" w:line="258"/>
            </w:pPr>
            <w:r>
              <w:rPr>
                <w:color w:val="1A1A1A"/>
                <w:sz w:val="19"/>
                <w:szCs w:val="19"/>
              </w:rPr>
              <w:t xml:space="preserve">Evidence collection and gap assessment call external systems and scan large result sets. Neither may hold a web worker.</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Every whitelisted endpoint is role-guarded.</w:t>
            </w:r>
          </w:p>
        </w:tc>
        <w:tc>
          <w:tcPr>
            <w:tcW w:type="dxa" w:w="5990"/>
            <w:shd w:fill="FFFFFF" w:val="clear"/>
            <w:tcMar>
              <w:top w:type="dxa" w:w="90"/>
              <w:left w:type="dxa" w:w="120"/>
              <w:bottom w:type="dxa" w:w="90"/>
              <w:right w:type="dxa" w:w="120"/>
            </w:tcMar>
            <w:vAlign w:val="center"/>
          </w:tcPr>
          <w:p>
            <w:pPr>
              <w:spacing w:after="0" w:line="258"/>
            </w:pPr>
            <w:r>
              <w:rPr>
                <w:color w:val="1A1A1A"/>
                <w:sz w:val="19"/>
                <w:szCs w:val="19"/>
              </w:rPr>
              <w:t xml:space="preserve">A whitelisted method is a public HTTP endpoint. verify_tree.py fails the build if one lacks a permission check.</w:t>
            </w:r>
          </w:p>
        </w:tc>
      </w:tr>
    </w:tbl>
    <w:p>
      <w:pPr>
        <w:pStyle w:val="Heading1"/>
        <w:pageBreakBefore/>
        <w:pBdr>
          <w:bottom w:val="single" w:color="1B6E7D" w:sz="10" w:space="8"/>
        </w:pBdr>
        <w:spacing w:after="240" w:before="0"/>
      </w:pPr>
      <w:r>
        <w:rPr>
          <w:b/>
          <w:bCs/>
          <w:color w:val="12314F"/>
          <w:sz w:val="36"/>
          <w:szCs w:val="36"/>
        </w:rPr>
        <w:t xml:space="preserve">3  Installation</w:t>
      </w:r>
    </w:p>
    <w:p>
      <w:pPr>
        <w:pStyle w:val="Heading2"/>
        <w:spacing w:after="140" w:before="320"/>
      </w:pPr>
      <w:r>
        <w:rPr>
          <w:b/>
          <w:bCs/>
          <w:color w:val="12314F"/>
          <w:sz w:val="26"/>
          <w:szCs w:val="26"/>
        </w:rPr>
        <w:t xml:space="preserve">3.1  Prerequisites</w:t>
      </w:r>
    </w:p>
    <w:tbl>
      <w:tblPr>
        <w:tblW w:type="dxa" w:w="9360"/>
        <w:tblBorders>
          <w:top w:val="single" w:color="C9D0D6" w:sz="4"/>
          <w:left w:val="none"/>
          <w:bottom w:val="single" w:color="C9D0D6" w:sz="4"/>
          <w:right w:val="none"/>
          <w:insideH w:val="single" w:color="DDE2E6" w:sz="2"/>
          <w:insideV w:val="none"/>
        </w:tblBorders>
      </w:tblPr>
      <w:tblGrid>
        <w:gridCol w:w="2434"/>
        <w:gridCol w:w="6926"/>
      </w:tblGrid>
      <w:tr>
        <w:trPr>
          <w:tblHeader/>
        </w:trPr>
        <w:tc>
          <w:tcPr>
            <w:tcW w:type="dxa" w:w="2434"/>
            <w:shd w:fill="12314F" w:val="clear"/>
            <w:tcMar>
              <w:top w:type="dxa" w:w="90"/>
              <w:left w:type="dxa" w:w="120"/>
              <w:bottom w:type="dxa" w:w="90"/>
              <w:right w:type="dxa" w:w="120"/>
            </w:tcMar>
            <w:vAlign w:val="center"/>
          </w:tcPr>
          <w:p>
            <w:pPr>
              <w:spacing w:after="0" w:line="258"/>
            </w:pPr>
            <w:r>
              <w:rPr>
                <w:b/>
                <w:bCs/>
                <w:color w:val="FFFFFF"/>
                <w:sz w:val="18"/>
                <w:szCs w:val="18"/>
              </w:rPr>
              <w:t xml:space="preserve">Requirement</w:t>
            </w:r>
          </w:p>
        </w:tc>
        <w:tc>
          <w:tcPr>
            <w:tcW w:type="dxa" w:w="6926"/>
            <w:shd w:fill="12314F" w:val="clear"/>
            <w:tcMar>
              <w:top w:type="dxa" w:w="90"/>
              <w:left w:type="dxa" w:w="120"/>
              <w:bottom w:type="dxa" w:w="90"/>
              <w:right w:type="dxa" w:w="120"/>
            </w:tcMar>
            <w:vAlign w:val="center"/>
          </w:tcPr>
          <w:p>
            <w:pPr>
              <w:spacing w:after="0" w:line="258"/>
            </w:pPr>
            <w:r>
              <w:rPr>
                <w:b/>
                <w:bCs/>
                <w:color w:val="FFFFFF"/>
                <w:sz w:val="18"/>
                <w:szCs w:val="18"/>
              </w:rPr>
              <w:t xml:space="preserve">Detail</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Frappe framework</w:t>
            </w:r>
          </w:p>
        </w:tc>
        <w:tc>
          <w:tcPr>
            <w:tcW w:type="dxa" w:w="6926"/>
            <w:shd w:fill="FFFFFF" w:val="clear"/>
            <w:tcMar>
              <w:top w:type="dxa" w:w="90"/>
              <w:left w:type="dxa" w:w="120"/>
              <w:bottom w:type="dxa" w:w="90"/>
              <w:right w:type="dxa" w:w="120"/>
            </w:tcMar>
            <w:vAlign w:val="center"/>
          </w:tcPr>
          <w:p>
            <w:pPr>
              <w:spacing w:after="0" w:line="258"/>
            </w:pPr>
            <w:r>
              <w:rPr>
                <w:color w:val="1A1A1A"/>
                <w:sz w:val="19"/>
                <w:szCs w:val="19"/>
              </w:rPr>
              <w:t xml:space="preserve">v15.x. The app declares frappe &gt;=15, &lt;16.</w:t>
            </w:r>
          </w:p>
        </w:tc>
      </w:tr>
      <w:tr>
        <w:tc>
          <w:tcPr>
            <w:tcW w:type="dxa" w:w="2434"/>
            <w:shd w:fill="F7F6F3" w:val="clear"/>
            <w:tcMar>
              <w:top w:type="dxa" w:w="90"/>
              <w:left w:type="dxa" w:w="120"/>
              <w:bottom w:type="dxa" w:w="90"/>
              <w:right w:type="dxa" w:w="120"/>
            </w:tcMar>
            <w:vAlign w:val="center"/>
          </w:tcPr>
          <w:p>
            <w:pPr>
              <w:spacing w:after="0" w:line="258"/>
            </w:pPr>
            <w:r>
              <w:rPr>
                <w:color w:val="1A1A1A"/>
                <w:sz w:val="19"/>
                <w:szCs w:val="19"/>
              </w:rPr>
              <w:t xml:space="preserve">Python</w:t>
            </w:r>
          </w:p>
        </w:tc>
        <w:tc>
          <w:tcPr>
            <w:tcW w:type="dxa" w:w="6926"/>
            <w:shd w:fill="F7F6F3" w:val="clear"/>
            <w:tcMar>
              <w:top w:type="dxa" w:w="90"/>
              <w:left w:type="dxa" w:w="120"/>
              <w:bottom w:type="dxa" w:w="90"/>
              <w:right w:type="dxa" w:w="120"/>
            </w:tcMar>
            <w:vAlign w:val="center"/>
          </w:tcPr>
          <w:p>
            <w:pPr>
              <w:spacing w:after="0" w:line="258"/>
            </w:pPr>
            <w:r>
              <w:rPr>
                <w:color w:val="1A1A1A"/>
                <w:sz w:val="19"/>
                <w:szCs w:val="19"/>
              </w:rPr>
              <w:t xml:space="preserve">3.10 or later, as required by Frappe v15.</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ERPNext</w:t>
            </w:r>
          </w:p>
        </w:tc>
        <w:tc>
          <w:tcPr>
            <w:tcW w:type="dxa" w:w="6926"/>
            <w:shd w:fill="FFFFFF" w:val="clear"/>
            <w:tcMar>
              <w:top w:type="dxa" w:w="90"/>
              <w:left w:type="dxa" w:w="120"/>
              <w:bottom w:type="dxa" w:w="90"/>
              <w:right w:type="dxa" w:w="120"/>
            </w:tcMar>
            <w:vAlign w:val="center"/>
          </w:tcPr>
          <w:p>
            <w:pPr>
              <w:spacing w:after="0" w:line="258"/>
            </w:pPr>
            <w:r>
              <w:rPr>
                <w:color w:val="1A1A1A"/>
                <w:sz w:val="19"/>
                <w:szCs w:val="19"/>
              </w:rPr>
              <w:t xml:space="preserve">Not required. The app is standalone, though the erpnext-internal connector collects richer evidence when ERPNext is present.</w:t>
            </w:r>
          </w:p>
        </w:tc>
      </w:tr>
      <w:tr>
        <w:tc>
          <w:tcPr>
            <w:tcW w:type="dxa" w:w="2434"/>
            <w:shd w:fill="F7F6F3" w:val="clear"/>
            <w:tcMar>
              <w:top w:type="dxa" w:w="90"/>
              <w:left w:type="dxa" w:w="120"/>
              <w:bottom w:type="dxa" w:w="90"/>
              <w:right w:type="dxa" w:w="120"/>
            </w:tcMar>
            <w:vAlign w:val="center"/>
          </w:tcPr>
          <w:p>
            <w:pPr>
              <w:spacing w:after="0" w:line="258"/>
            </w:pPr>
            <w:r>
              <w:rPr>
                <w:color w:val="1A1A1A"/>
                <w:sz w:val="19"/>
                <w:szCs w:val="19"/>
              </w:rPr>
              <w:t xml:space="preserve">Background workers</w:t>
            </w:r>
          </w:p>
        </w:tc>
        <w:tc>
          <w:tcPr>
            <w:tcW w:type="dxa" w:w="6926"/>
            <w:shd w:fill="F7F6F3" w:val="clear"/>
            <w:tcMar>
              <w:top w:type="dxa" w:w="90"/>
              <w:left w:type="dxa" w:w="120"/>
              <w:bottom w:type="dxa" w:w="90"/>
              <w:right w:type="dxa" w:w="120"/>
            </w:tcMar>
            <w:vAlign w:val="center"/>
          </w:tcPr>
          <w:p>
            <w:pPr>
              <w:spacing w:after="0" w:line="258"/>
            </w:pPr>
            <w:r>
              <w:rPr>
                <w:color w:val="1A1A1A"/>
                <w:sz w:val="19"/>
                <w:szCs w:val="19"/>
              </w:rPr>
              <w:t xml:space="preserve">Must be running. Evidence collection and gap assessment are queued jobs.</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Scheduler</w:t>
            </w:r>
          </w:p>
        </w:tc>
        <w:tc>
          <w:tcPr>
            <w:tcW w:type="dxa" w:w="6926"/>
            <w:shd w:fill="FFFFFF" w:val="clear"/>
            <w:tcMar>
              <w:top w:type="dxa" w:w="90"/>
              <w:left w:type="dxa" w:w="120"/>
              <w:bottom w:type="dxa" w:w="90"/>
              <w:right w:type="dxa" w:w="120"/>
            </w:tcMar>
            <w:vAlign w:val="center"/>
          </w:tcPr>
          <w:p>
            <w:pPr>
              <w:spacing w:after="0" w:line="258"/>
            </w:pPr>
            <w:r>
              <w:rPr>
                <w:color w:val="1A1A1A"/>
                <w:sz w:val="19"/>
                <w:szCs w:val="19"/>
              </w:rPr>
              <w:t xml:space="preserve">Must be enabled for scheduled evidence sets and daily hygiene jobs.</w:t>
            </w:r>
          </w:p>
        </w:tc>
      </w:tr>
    </w:tbl>
    <w:p>
      <w:pPr>
        <w:pStyle w:val="Heading2"/>
        <w:spacing w:after="140" w:before="320"/>
      </w:pPr>
      <w:r>
        <w:rPr>
          <w:b/>
          <w:bCs/>
          <w:color w:val="12314F"/>
          <w:sz w:val="26"/>
          <w:szCs w:val="26"/>
        </w:rPr>
        <w:t xml:space="preserve">3.2  Install</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cd ~/frappe-bench</w:t>
      </w:r>
      <w:r>
        <w:br/>
      </w:r>
      <w:r>
        <w:rPr>
          <w:rFonts w:ascii="Consolas" w:cs="Consolas" w:eastAsia="Consolas" w:hAnsi="Consolas"/>
          <w:color w:val="24303B"/>
          <w:sz w:val="18"/>
          <w:szCs w:val="18"/>
        </w:rPr>
        <w:t xml:space="preserve">bench get-app neogrc /path/to/neogrc</w:t>
      </w:r>
      <w:r>
        <w:br/>
      </w:r>
      <w:r>
        <w:rPr>
          <w:rFonts w:ascii="Consolas" w:cs="Consolas" w:eastAsia="Consolas" w:hAnsi="Consolas"/>
          <w:color w:val="24303B"/>
          <w:sz w:val="18"/>
          <w:szCs w:val="18"/>
        </w:rPr>
        <w:t xml:space="preserve">bench --site yoursite install-app neogrc</w:t>
      </w:r>
      <w:r>
        <w:br/>
      </w:r>
      <w:r>
        <w:rPr>
          <w:rFonts w:ascii="Consolas" w:cs="Consolas" w:eastAsia="Consolas" w:hAnsi="Consolas"/>
          <w:color w:val="24303B"/>
          <w:sz w:val="18"/>
          <w:szCs w:val="18"/>
        </w:rPr>
        <w:t xml:space="preserve">bench --site yoursite migrate</w:t>
      </w:r>
    </w:p>
    <w:p>
      <w:pPr>
        <w:spacing w:after="140" w:line="276"/>
      </w:pPr>
      <w:r>
        <w:rPr>
          <w:color w:val="1A1A1A"/>
          <w:sz w:val="21"/>
          <w:szCs w:val="21"/>
        </w:rPr>
        <w:t xml:space="preserve">Confirm the scheduler is live, otherwise scheduled evidence sets will never fire:</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bench --site yoursite doctor</w:t>
      </w:r>
      <w:r>
        <w:br/>
      </w:r>
      <w:r>
        <w:rPr>
          <w:rFonts w:ascii="Consolas" w:cs="Consolas" w:eastAsia="Consolas" w:hAnsi="Consolas"/>
          <w:color w:val="24303B"/>
          <w:sz w:val="18"/>
          <w:szCs w:val="18"/>
        </w:rPr>
        <w:t xml:space="preserve">bench --site yoursite enable-scheduler</w:t>
      </w:r>
    </w:p>
    <w:p>
      <w:pPr>
        <w:pStyle w:val="Heading2"/>
        <w:spacing w:after="140" w:before="320"/>
      </w:pPr>
      <w:r>
        <w:rPr>
          <w:b/>
          <w:bCs/>
          <w:color w:val="12314F"/>
          <w:sz w:val="26"/>
          <w:szCs w:val="26"/>
        </w:rPr>
        <w:t xml:space="preserve">3.3  What install creates</w:t>
      </w:r>
    </w:p>
    <w:tbl>
      <w:tblPr>
        <w:tblW w:type="dxa" w:w="9360"/>
        <w:tblBorders>
          <w:top w:val="single" w:color="C9D0D6" w:sz="4"/>
          <w:left w:val="none"/>
          <w:bottom w:val="single" w:color="C9D0D6" w:sz="4"/>
          <w:right w:val="none"/>
          <w:insideH w:val="single" w:color="DDE2E6" w:sz="2"/>
          <w:insideV w:val="none"/>
        </w:tblBorders>
      </w:tblPr>
      <w:tblGrid>
        <w:gridCol w:w="3370"/>
        <w:gridCol w:w="1310"/>
        <w:gridCol w:w="4680"/>
      </w:tblGrid>
      <w:tr>
        <w:trPr>
          <w:tblHeader/>
        </w:trPr>
        <w:tc>
          <w:tcPr>
            <w:tcW w:type="dxa" w:w="3370"/>
            <w:shd w:fill="12314F" w:val="clear"/>
            <w:tcMar>
              <w:top w:type="dxa" w:w="90"/>
              <w:left w:type="dxa" w:w="120"/>
              <w:bottom w:type="dxa" w:w="90"/>
              <w:right w:type="dxa" w:w="120"/>
            </w:tcMar>
            <w:vAlign w:val="center"/>
          </w:tcPr>
          <w:p>
            <w:pPr>
              <w:spacing w:after="0" w:line="258"/>
            </w:pPr>
            <w:r>
              <w:rPr>
                <w:b/>
                <w:bCs/>
                <w:color w:val="FFFFFF"/>
                <w:sz w:val="18"/>
                <w:szCs w:val="18"/>
              </w:rPr>
              <w:t xml:space="preserve">Object</w:t>
            </w:r>
          </w:p>
        </w:tc>
        <w:tc>
          <w:tcPr>
            <w:tcW w:type="dxa" w:w="1310"/>
            <w:shd w:fill="12314F" w:val="clear"/>
            <w:tcMar>
              <w:top w:type="dxa" w:w="90"/>
              <w:left w:type="dxa" w:w="120"/>
              <w:bottom w:type="dxa" w:w="90"/>
              <w:right w:type="dxa" w:w="120"/>
            </w:tcMar>
            <w:vAlign w:val="center"/>
          </w:tcPr>
          <w:p>
            <w:pPr>
              <w:spacing w:after="0" w:line="258"/>
            </w:pPr>
            <w:r>
              <w:rPr>
                <w:b/>
                <w:bCs/>
                <w:color w:val="FFFFFF"/>
                <w:sz w:val="18"/>
                <w:szCs w:val="18"/>
              </w:rPr>
              <w:t xml:space="preserve">Count</w:t>
            </w:r>
          </w:p>
        </w:tc>
        <w:tc>
          <w:tcPr>
            <w:tcW w:type="dxa" w:w="4680"/>
            <w:shd w:fill="12314F" w:val="clear"/>
            <w:tcMar>
              <w:top w:type="dxa" w:w="90"/>
              <w:left w:type="dxa" w:w="120"/>
              <w:bottom w:type="dxa" w:w="90"/>
              <w:right w:type="dxa" w:w="120"/>
            </w:tcMar>
            <w:vAlign w:val="center"/>
          </w:tcPr>
          <w:p>
            <w:pPr>
              <w:spacing w:after="0" w:line="258"/>
            </w:pPr>
            <w:r>
              <w:rPr>
                <w:b/>
                <w:bCs/>
                <w:color w:val="FFFFFF"/>
                <w:sz w:val="18"/>
                <w:szCs w:val="18"/>
              </w:rPr>
              <w:t xml:space="preserve">Note</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Frameworks</w:t>
            </w:r>
          </w:p>
        </w:tc>
        <w:tc>
          <w:tcPr>
            <w:tcW w:type="dxa" w:w="1310"/>
            <w:shd w:fill="FFFFFF" w:val="clear"/>
            <w:tcMar>
              <w:top w:type="dxa" w:w="90"/>
              <w:left w:type="dxa" w:w="120"/>
              <w:bottom w:type="dxa" w:w="90"/>
              <w:right w:type="dxa" w:w="120"/>
            </w:tcMar>
            <w:vAlign w:val="center"/>
          </w:tcPr>
          <w:p>
            <w:pPr>
              <w:spacing w:after="0" w:line="258"/>
            </w:pPr>
            <w:r>
              <w:rPr>
                <w:color w:val="1A1A1A"/>
                <w:sz w:val="19"/>
                <w:szCs w:val="19"/>
              </w:rPr>
              <w:t xml:space="preserve">15</w:t>
            </w:r>
          </w:p>
        </w:tc>
        <w:tc>
          <w:tcPr>
            <w:tcW w:type="dxa" w:w="4680"/>
            <w:shd w:fill="FFFFFF" w:val="clear"/>
            <w:tcMar>
              <w:top w:type="dxa" w:w="90"/>
              <w:left w:type="dxa" w:w="120"/>
              <w:bottom w:type="dxa" w:w="90"/>
              <w:right w:type="dxa" w:w="120"/>
            </w:tcMar>
            <w:vAlign w:val="center"/>
          </w:tcPr>
          <w:p>
            <w:pPr>
              <w:spacing w:after="0" w:line="258"/>
            </w:pPr>
            <w:r>
              <w:rPr>
                <w:color w:val="1A1A1A"/>
                <w:sz w:val="19"/>
                <w:szCs w:val="19"/>
              </w:rPr>
              <w:t xml:space="preserve">One canonical (NCC), fourteen reference</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Control families</w:t>
            </w:r>
          </w:p>
        </w:tc>
        <w:tc>
          <w:tcPr>
            <w:tcW w:type="dxa" w:w="1310"/>
            <w:shd w:fill="F7F6F3" w:val="clear"/>
            <w:tcMar>
              <w:top w:type="dxa" w:w="90"/>
              <w:left w:type="dxa" w:w="120"/>
              <w:bottom w:type="dxa" w:w="90"/>
              <w:right w:type="dxa" w:w="120"/>
            </w:tcMar>
            <w:vAlign w:val="center"/>
          </w:tcPr>
          <w:p>
            <w:pPr>
              <w:spacing w:after="0" w:line="258"/>
            </w:pPr>
            <w:r>
              <w:rPr>
                <w:color w:val="1A1A1A"/>
                <w:sz w:val="19"/>
                <w:szCs w:val="19"/>
              </w:rPr>
              <w:t xml:space="preserve">16</w:t>
            </w:r>
          </w:p>
        </w:tc>
        <w:tc>
          <w:tcPr>
            <w:tcW w:type="dxa" w:w="4680"/>
            <w:shd w:fill="F7F6F3" w:val="clear"/>
            <w:tcMar>
              <w:top w:type="dxa" w:w="90"/>
              <w:left w:type="dxa" w:w="120"/>
              <w:bottom w:type="dxa" w:w="90"/>
              <w:right w:type="dxa" w:w="120"/>
            </w:tcMar>
            <w:vAlign w:val="center"/>
          </w:tcPr>
          <w:p>
            <w:pPr>
              <w:spacing w:after="0" w:line="258"/>
            </w:pPr>
            <w:r>
              <w:rPr>
                <w:color w:val="1A1A1A"/>
                <w:sz w:val="19"/>
                <w:szCs w:val="19"/>
              </w:rPr>
              <w:t xml:space="preserve">Governance through Secure Development</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Canonical controls</w:t>
            </w:r>
          </w:p>
        </w:tc>
        <w:tc>
          <w:tcPr>
            <w:tcW w:type="dxa" w:w="1310"/>
            <w:shd w:fill="FFFFFF" w:val="clear"/>
            <w:tcMar>
              <w:top w:type="dxa" w:w="90"/>
              <w:left w:type="dxa" w:w="120"/>
              <w:bottom w:type="dxa" w:w="90"/>
              <w:right w:type="dxa" w:w="120"/>
            </w:tcMar>
            <w:vAlign w:val="center"/>
          </w:tcPr>
          <w:p>
            <w:pPr>
              <w:spacing w:after="0" w:line="258"/>
            </w:pPr>
            <w:r>
              <w:rPr>
                <w:color w:val="1A1A1A"/>
                <w:sz w:val="19"/>
                <w:szCs w:val="19"/>
              </w:rPr>
              <w:t xml:space="preserve">62</w:t>
            </w:r>
          </w:p>
        </w:tc>
        <w:tc>
          <w:tcPr>
            <w:tcW w:type="dxa" w:w="4680"/>
            <w:shd w:fill="FFFFFF" w:val="clear"/>
            <w:tcMar>
              <w:top w:type="dxa" w:w="90"/>
              <w:left w:type="dxa" w:w="120"/>
              <w:bottom w:type="dxa" w:w="90"/>
              <w:right w:type="dxa" w:w="120"/>
            </w:tcMar>
            <w:vAlign w:val="center"/>
          </w:tcPr>
          <w:p>
            <w:pPr>
              <w:spacing w:after="0" w:line="258"/>
            </w:pPr>
            <w:r>
              <w:rPr>
                <w:color w:val="1A1A1A"/>
                <w:sz w:val="19"/>
                <w:szCs w:val="19"/>
              </w:rPr>
              <w:t xml:space="preserve">Original wording, freely editable</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Framework controls</w:t>
            </w:r>
          </w:p>
        </w:tc>
        <w:tc>
          <w:tcPr>
            <w:tcW w:type="dxa" w:w="1310"/>
            <w:shd w:fill="F7F6F3" w:val="clear"/>
            <w:tcMar>
              <w:top w:type="dxa" w:w="90"/>
              <w:left w:type="dxa" w:w="120"/>
              <w:bottom w:type="dxa" w:w="90"/>
              <w:right w:type="dxa" w:w="120"/>
            </w:tcMar>
            <w:vAlign w:val="center"/>
          </w:tcPr>
          <w:p>
            <w:pPr>
              <w:spacing w:after="0" w:line="258"/>
            </w:pPr>
            <w:r>
              <w:rPr>
                <w:color w:val="1A1A1A"/>
                <w:sz w:val="19"/>
                <w:szCs w:val="19"/>
              </w:rPr>
              <w:t xml:space="preserve">640</w:t>
            </w:r>
          </w:p>
        </w:tc>
        <w:tc>
          <w:tcPr>
            <w:tcW w:type="dxa" w:w="4680"/>
            <w:shd w:fill="F7F6F3" w:val="clear"/>
            <w:tcMar>
              <w:top w:type="dxa" w:w="90"/>
              <w:left w:type="dxa" w:w="120"/>
              <w:bottom w:type="dxa" w:w="90"/>
              <w:right w:type="dxa" w:w="120"/>
            </w:tcMar>
            <w:vAlign w:val="center"/>
          </w:tcPr>
          <w:p>
            <w:pPr>
              <w:spacing w:after="0" w:line="258"/>
            </w:pPr>
            <w:r>
              <w:rPr>
                <w:color w:val="1A1A1A"/>
                <w:sz w:val="19"/>
                <w:szCs w:val="19"/>
              </w:rPr>
              <w:t xml:space="preserve">Real identifiers — see section 9</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Crosswalk edges</w:t>
            </w:r>
          </w:p>
        </w:tc>
        <w:tc>
          <w:tcPr>
            <w:tcW w:type="dxa" w:w="1310"/>
            <w:shd w:fill="FFFFFF" w:val="clear"/>
            <w:tcMar>
              <w:top w:type="dxa" w:w="90"/>
              <w:left w:type="dxa" w:w="120"/>
              <w:bottom w:type="dxa" w:w="90"/>
              <w:right w:type="dxa" w:w="120"/>
            </w:tcMar>
            <w:vAlign w:val="center"/>
          </w:tcPr>
          <w:p>
            <w:pPr>
              <w:spacing w:after="0" w:line="258"/>
            </w:pPr>
            <w:r>
              <w:rPr>
                <w:color w:val="1A1A1A"/>
                <w:sz w:val="19"/>
                <w:szCs w:val="19"/>
              </w:rPr>
              <w:t xml:space="preserve">1,121</w:t>
            </w:r>
          </w:p>
        </w:tc>
        <w:tc>
          <w:tcPr>
            <w:tcW w:type="dxa" w:w="4680"/>
            <w:shd w:fill="FFFFFF" w:val="clear"/>
            <w:tcMar>
              <w:top w:type="dxa" w:w="90"/>
              <w:left w:type="dxa" w:w="120"/>
              <w:bottom w:type="dxa" w:w="90"/>
              <w:right w:type="dxa" w:w="120"/>
            </w:tcMar>
            <w:vAlign w:val="center"/>
          </w:tcPr>
          <w:p>
            <w:pPr>
              <w:spacing w:after="0" w:line="258"/>
            </w:pPr>
            <w:r>
              <w:rPr>
                <w:color w:val="1A1A1A"/>
                <w:sz w:val="19"/>
                <w:szCs w:val="19"/>
              </w:rPr>
              <w:t xml:space="preserve">211 binding, 910 family-level derivations</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Connectors</w:t>
            </w:r>
          </w:p>
        </w:tc>
        <w:tc>
          <w:tcPr>
            <w:tcW w:type="dxa" w:w="1310"/>
            <w:shd w:fill="F7F6F3" w:val="clear"/>
            <w:tcMar>
              <w:top w:type="dxa" w:w="90"/>
              <w:left w:type="dxa" w:w="120"/>
              <w:bottom w:type="dxa" w:w="90"/>
              <w:right w:type="dxa" w:w="120"/>
            </w:tcMar>
            <w:vAlign w:val="center"/>
          </w:tcPr>
          <w:p>
            <w:pPr>
              <w:spacing w:after="0" w:line="258"/>
            </w:pPr>
            <w:r>
              <w:rPr>
                <w:color w:val="1A1A1A"/>
                <w:sz w:val="19"/>
                <w:szCs w:val="19"/>
              </w:rPr>
              <w:t xml:space="preserve">9</w:t>
            </w:r>
          </w:p>
        </w:tc>
        <w:tc>
          <w:tcPr>
            <w:tcW w:type="dxa" w:w="4680"/>
            <w:shd w:fill="F7F6F3" w:val="clear"/>
            <w:tcMar>
              <w:top w:type="dxa" w:w="90"/>
              <w:left w:type="dxa" w:w="120"/>
              <w:bottom w:type="dxa" w:w="90"/>
              <w:right w:type="dxa" w:w="120"/>
            </w:tcMar>
            <w:vAlign w:val="center"/>
          </w:tcPr>
          <w:p>
            <w:pPr>
              <w:spacing w:after="0" w:line="258"/>
            </w:pPr>
            <w:r>
              <w:rPr>
                <w:color w:val="1A1A1A"/>
                <w:sz w:val="19"/>
                <w:szCs w:val="19"/>
              </w:rPr>
              <w:t xml:space="preserve">Two enabled, seven disabled</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Fetchers</w:t>
            </w:r>
          </w:p>
        </w:tc>
        <w:tc>
          <w:tcPr>
            <w:tcW w:type="dxa" w:w="1310"/>
            <w:shd w:fill="FFFFFF" w:val="clear"/>
            <w:tcMar>
              <w:top w:type="dxa" w:w="90"/>
              <w:left w:type="dxa" w:w="120"/>
              <w:bottom w:type="dxa" w:w="90"/>
              <w:right w:type="dxa" w:w="120"/>
            </w:tcMar>
            <w:vAlign w:val="center"/>
          </w:tcPr>
          <w:p>
            <w:pPr>
              <w:spacing w:after="0" w:line="258"/>
            </w:pPr>
            <w:r>
              <w:rPr>
                <w:color w:val="1A1A1A"/>
                <w:sz w:val="19"/>
                <w:szCs w:val="19"/>
              </w:rPr>
              <w:t xml:space="preserve">38</w:t>
            </w:r>
          </w:p>
        </w:tc>
        <w:tc>
          <w:tcPr>
            <w:tcW w:type="dxa" w:w="4680"/>
            <w:shd w:fill="FFFFFF" w:val="clear"/>
            <w:tcMar>
              <w:top w:type="dxa" w:w="90"/>
              <w:left w:type="dxa" w:w="120"/>
              <w:bottom w:type="dxa" w:w="90"/>
              <w:right w:type="dxa" w:w="120"/>
            </w:tcMar>
            <w:vAlign w:val="center"/>
          </w:tcPr>
          <w:p>
            <w:pPr>
              <w:spacing w:after="0" w:line="258"/>
            </w:pPr>
            <w:r>
              <w:rPr>
                <w:color w:val="1A1A1A"/>
                <w:sz w:val="19"/>
                <w:szCs w:val="19"/>
              </w:rPr>
              <w:t xml:space="preserve">11 internal Python, 9 declarative query, 18 shell</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Evidence sets</w:t>
            </w:r>
          </w:p>
        </w:tc>
        <w:tc>
          <w:tcPr>
            <w:tcW w:type="dxa" w:w="1310"/>
            <w:shd w:fill="F7F6F3" w:val="clear"/>
            <w:tcMar>
              <w:top w:type="dxa" w:w="90"/>
              <w:left w:type="dxa" w:w="120"/>
              <w:bottom w:type="dxa" w:w="90"/>
              <w:right w:type="dxa" w:w="120"/>
            </w:tcMar>
            <w:vAlign w:val="center"/>
          </w:tcPr>
          <w:p>
            <w:pPr>
              <w:spacing w:after="0" w:line="258"/>
            </w:pPr>
            <w:r>
              <w:rPr>
                <w:color w:val="1A1A1A"/>
                <w:sz w:val="19"/>
                <w:szCs w:val="19"/>
              </w:rPr>
              <w:t xml:space="preserve">5</w:t>
            </w:r>
          </w:p>
        </w:tc>
        <w:tc>
          <w:tcPr>
            <w:tcW w:type="dxa" w:w="4680"/>
            <w:shd w:fill="F7F6F3" w:val="clear"/>
            <w:tcMar>
              <w:top w:type="dxa" w:w="90"/>
              <w:left w:type="dxa" w:w="120"/>
              <w:bottom w:type="dxa" w:w="90"/>
              <w:right w:type="dxa" w:w="120"/>
            </w:tcMar>
            <w:vAlign w:val="center"/>
          </w:tcPr>
          <w:p>
            <w:pPr>
              <w:spacing w:after="0" w:line="258"/>
            </w:pPr>
            <w:r>
              <w:rPr>
                <w:color w:val="1A1A1A"/>
                <w:sz w:val="19"/>
                <w:szCs w:val="19"/>
              </w:rPr>
              <w:t xml:space="preserve">Three enabled, two disabled</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Roles</w:t>
            </w:r>
          </w:p>
        </w:tc>
        <w:tc>
          <w:tcPr>
            <w:tcW w:type="dxa" w:w="1310"/>
            <w:shd w:fill="FFFFFF" w:val="clear"/>
            <w:tcMar>
              <w:top w:type="dxa" w:w="90"/>
              <w:left w:type="dxa" w:w="120"/>
              <w:bottom w:type="dxa" w:w="90"/>
              <w:right w:type="dxa" w:w="120"/>
            </w:tcMar>
            <w:vAlign w:val="center"/>
          </w:tcPr>
          <w:p>
            <w:pPr>
              <w:spacing w:after="0" w:line="258"/>
            </w:pPr>
            <w:r>
              <w:rPr>
                <w:color w:val="1A1A1A"/>
                <w:sz w:val="19"/>
                <w:szCs w:val="19"/>
              </w:rPr>
              <w:t xml:space="preserve">3</w:t>
            </w:r>
          </w:p>
        </w:tc>
        <w:tc>
          <w:tcPr>
            <w:tcW w:type="dxa" w:w="4680"/>
            <w:shd w:fill="FFFFFF" w:val="clear"/>
            <w:tcMar>
              <w:top w:type="dxa" w:w="90"/>
              <w:left w:type="dxa" w:w="120"/>
              <w:bottom w:type="dxa" w:w="90"/>
              <w:right w:type="dxa" w:w="120"/>
            </w:tcMar>
            <w:vAlign w:val="center"/>
          </w:tcPr>
          <w:p>
            <w:pPr>
              <w:spacing w:after="0" w:line="258"/>
            </w:pPr>
            <w:r>
              <w:rPr>
                <w:color w:val="1A1A1A"/>
                <w:sz w:val="19"/>
                <w:szCs w:val="19"/>
              </w:rPr>
              <w:t xml:space="preserve">NeoGRC Manager, NeoGRC Engineer, NeoGRC Auditor</w:t>
            </w:r>
          </w:p>
        </w:tc>
      </w:tr>
    </w:tbl>
    <w:p>
      <w:pPr>
        <w:spacing w:after="80"/>
      </w:pPr>
    </w:p>
    <w:tbl>
      <w:tblPr>
        <w:tblW w:type="dxa" w:w="9360"/>
        <w:tblBorders>
          <w:top w:val="none"/>
          <w:left w:val="single" w:color="1B6E7D" w:sz="18"/>
          <w:bottom w:val="none"/>
          <w:right w:val="none"/>
          <w:insideH w:val="none"/>
          <w:insideV w:val="none"/>
        </w:tblBorders>
      </w:tblPr>
      <w:tblGrid>
        <w:gridCol w:w="9360"/>
      </w:tblGrid>
      <w:tr>
        <w:tc>
          <w:tcPr>
            <w:tcW w:type="dxa" w:w="9360"/>
            <w:shd w:fill="F2EEE6" w:val="clear"/>
            <w:tcMar>
              <w:top w:type="dxa" w:w="150"/>
              <w:left w:type="dxa" w:w="190"/>
              <w:bottom w:type="dxa" w:w="150"/>
              <w:right w:type="dxa" w:w="190"/>
            </w:tcMar>
          </w:tcPr>
          <w:p>
            <w:pPr>
              <w:spacing w:after="70"/>
            </w:pPr>
            <w:r>
              <w:rPr>
                <w:b/>
                <w:bCs/>
                <w:color w:val="1B6E7D"/>
                <w:sz w:val="20"/>
                <w:szCs w:val="20"/>
              </w:rPr>
              <w:t xml:space="preserve">Every seeder is idempotent</w:t>
            </w:r>
          </w:p>
          <w:p>
            <w:pPr>
              <w:spacing w:after="0" w:line="268"/>
            </w:pPr>
            <w:r>
              <w:rPr>
                <w:sz w:val="20"/>
                <w:szCs w:val="20"/>
              </w:rPr>
              <w:t xml:space="preserve">Seeding runs on both after_install and after_migrate, creating only what is missing. Editing a seeded control, disabling a seeded fetcher, or rewriting a stub framework's titles are all safe — a later bench migrate will not undo them.</w:t>
            </w:r>
          </w:p>
        </w:tc>
      </w:tr>
    </w:tbl>
    <w:p>
      <w:pPr>
        <w:pStyle w:val="Heading2"/>
        <w:spacing w:after="140" w:before="320"/>
      </w:pPr>
      <w:r>
        <w:rPr>
          <w:b/>
          <w:bCs/>
          <w:color w:val="12314F"/>
          <w:sz w:val="26"/>
          <w:szCs w:val="26"/>
        </w:rPr>
        <w:t xml:space="preserve">3.4  First run without credentials</w:t>
      </w:r>
    </w:p>
    <w:p>
      <w:pPr>
        <w:spacing w:after="140" w:line="276"/>
      </w:pPr>
      <w:r>
        <w:rPr>
          <w:color w:val="1A1A1A"/>
          <w:sz w:val="21"/>
          <w:szCs w:val="21"/>
        </w:rPr>
        <w:t xml:space="preserve">The erpnext-internal connector ships enabled and collects evidence from the site itself. It needs no credentials and makes no outbound connection, so the application is demonstrable on install day.</w:t>
      </w:r>
    </w:p>
    <w:p>
      <w:pPr>
        <w:pStyle w:val="ListParagraph"/>
        <w:numPr>
          <w:ilvl w:val="0"/>
          <w:numId w:val="3"/>
        </w:numPr>
        <w:spacing w:after="110" w:line="264"/>
      </w:pPr>
      <w:r>
        <w:rPr>
          <w:sz w:val="21"/>
          <w:szCs w:val="21"/>
        </w:rPr>
        <w:t xml:space="preserve">Open GRC Evidence Set and select ES-ERP-BASELINE.</w:t>
      </w:r>
    </w:p>
    <w:p>
      <w:pPr>
        <w:pStyle w:val="ListParagraph"/>
        <w:numPr>
          <w:ilvl w:val="0"/>
          <w:numId w:val="3"/>
        </w:numPr>
        <w:spacing w:after="110" w:line="264"/>
      </w:pPr>
      <w:r>
        <w:rPr>
          <w:sz w:val="21"/>
          <w:szCs w:val="21"/>
        </w:rPr>
        <w:t xml:space="preserve">Click Run Now. The set is queued to the background worker.</w:t>
      </w:r>
    </w:p>
    <w:p>
      <w:pPr>
        <w:pStyle w:val="ListParagraph"/>
        <w:numPr>
          <w:ilvl w:val="0"/>
          <w:numId w:val="3"/>
        </w:numPr>
        <w:spacing w:after="110" w:line="264"/>
      </w:pPr>
      <w:r>
        <w:rPr>
          <w:sz w:val="21"/>
          <w:szCs w:val="21"/>
        </w:rPr>
        <w:t xml:space="preserve">Open the resulting GRC Evidence Run. Each fetcher has an artifact with a SHA-256 hash and a recorded validation outcome.</w:t>
      </w:r>
    </w:p>
    <w:p>
      <w:pPr>
        <w:pStyle w:val="ListParagraph"/>
        <w:numPr>
          <w:ilvl w:val="0"/>
          <w:numId w:val="3"/>
        </w:numPr>
        <w:spacing w:after="110" w:line="264"/>
      </w:pPr>
      <w:r>
        <w:rPr>
          <w:sz w:val="21"/>
          <w:szCs w:val="21"/>
        </w:rPr>
        <w:t xml:space="preserve">Open GRC Finding to see the emitted findings, each scoped to a canonical control.</w:t>
      </w:r>
    </w:p>
    <w:p>
      <w:pPr>
        <w:pStyle w:val="ListParagraph"/>
        <w:numPr>
          <w:ilvl w:val="0"/>
          <w:numId w:val="3"/>
        </w:numPr>
        <w:spacing w:after="110" w:line="264"/>
      </w:pPr>
      <w:r>
        <w:rPr>
          <w:sz w:val="21"/>
          <w:szCs w:val="21"/>
        </w:rPr>
        <w:t xml:space="preserve">Create a GRC Gap Assessment, add framework NCC in the scope table, and click Run Assessment.</w:t>
      </w:r>
    </w:p>
    <w:p>
      <w:pPr>
        <w:pStyle w:val="ListParagraph"/>
        <w:numPr>
          <w:ilvl w:val="0"/>
          <w:numId w:val="3"/>
        </w:numPr>
        <w:spacing w:after="110" w:line="264"/>
      </w:pPr>
      <w:r>
        <w:rPr>
          <w:sz w:val="21"/>
          <w:szCs w:val="21"/>
        </w:rPr>
        <w:t xml:space="preserve">Read the scorecard: automated coverage and compliance, reported separately.</w:t>
      </w:r>
    </w:p>
    <w:p>
      <w:pPr>
        <w:spacing w:after="140" w:line="276"/>
      </w:pPr>
      <w:r>
        <w:rPr>
          <w:color w:val="1A1A1A"/>
          <w:sz w:val="21"/>
          <w:szCs w:val="21"/>
        </w:rPr>
        <w:t xml:space="preserve">Expect a low coverage figure on this first pass. Eleven internal fetchers cannot evidence sixty-two controls, and the assessment says so rather than concealing it. That is the intended behaviour, and section 7.3 explains why.</w:t>
      </w:r>
    </w:p>
    <w:p>
      <w:pPr>
        <w:pStyle w:val="Heading2"/>
        <w:spacing w:after="140" w:before="320"/>
      </w:pPr>
      <w:r>
        <w:rPr>
          <w:b/>
          <w:bCs/>
          <w:color w:val="12314F"/>
          <w:sz w:val="26"/>
          <w:szCs w:val="26"/>
        </w:rPr>
        <w:t xml:space="preserve">3.5  Uninstall</w:t>
      </w:r>
    </w:p>
    <w:p>
      <w:pPr>
        <w:spacing w:after="140" w:line="276"/>
      </w:pPr>
      <w:r>
        <w:rPr>
          <w:color w:val="1A1A1A"/>
          <w:sz w:val="21"/>
          <w:szCs w:val="21"/>
        </w:rPr>
        <w:t xml:space="preserve">before_uninstall raises a warning listing the evidence artifacts, findings and submitted assessments that will be destroyed. Submitted gap assessments are audit records; export them before removing the application.</w:t>
      </w:r>
    </w:p>
    <w:p>
      <w:pPr>
        <w:pStyle w:val="Heading1"/>
        <w:pageBreakBefore/>
        <w:pBdr>
          <w:bottom w:val="single" w:color="1B6E7D" w:sz="10" w:space="8"/>
        </w:pBdr>
        <w:spacing w:after="240" w:before="0"/>
      </w:pPr>
      <w:r>
        <w:rPr>
          <w:b/>
          <w:bCs/>
          <w:color w:val="12314F"/>
          <w:sz w:val="36"/>
          <w:szCs w:val="36"/>
        </w:rPr>
        <w:t xml:space="preserve">4  Roles and permissions</w:t>
      </w:r>
    </w:p>
    <w:tbl>
      <w:tblPr>
        <w:tblW w:type="dxa" w:w="9360"/>
        <w:tblBorders>
          <w:top w:val="single" w:color="C9D0D6" w:sz="4"/>
          <w:left w:val="none"/>
          <w:bottom w:val="single" w:color="C9D0D6" w:sz="4"/>
          <w:right w:val="none"/>
          <w:insideH w:val="single" w:color="DDE2E6" w:sz="2"/>
          <w:insideV w:val="none"/>
        </w:tblBorders>
      </w:tblPr>
      <w:tblGrid>
        <w:gridCol w:w="1778"/>
        <w:gridCol w:w="2808"/>
        <w:gridCol w:w="4774"/>
      </w:tblGrid>
      <w:tr>
        <w:trPr>
          <w:tblHeader/>
        </w:trPr>
        <w:tc>
          <w:tcPr>
            <w:tcW w:type="dxa" w:w="1778"/>
            <w:shd w:fill="12314F" w:val="clear"/>
            <w:tcMar>
              <w:top w:type="dxa" w:w="90"/>
              <w:left w:type="dxa" w:w="120"/>
              <w:bottom w:type="dxa" w:w="90"/>
              <w:right w:type="dxa" w:w="120"/>
            </w:tcMar>
            <w:vAlign w:val="center"/>
          </w:tcPr>
          <w:p>
            <w:pPr>
              <w:spacing w:after="0" w:line="258"/>
            </w:pPr>
            <w:r>
              <w:rPr>
                <w:b/>
                <w:bCs/>
                <w:color w:val="FFFFFF"/>
                <w:sz w:val="18"/>
                <w:szCs w:val="18"/>
              </w:rPr>
              <w:t xml:space="preserve">Role</w:t>
            </w:r>
          </w:p>
        </w:tc>
        <w:tc>
          <w:tcPr>
            <w:tcW w:type="dxa" w:w="2808"/>
            <w:shd w:fill="12314F" w:val="clear"/>
            <w:tcMar>
              <w:top w:type="dxa" w:w="90"/>
              <w:left w:type="dxa" w:w="120"/>
              <w:bottom w:type="dxa" w:w="90"/>
              <w:right w:type="dxa" w:w="120"/>
            </w:tcMar>
            <w:vAlign w:val="center"/>
          </w:tcPr>
          <w:p>
            <w:pPr>
              <w:spacing w:after="0" w:line="258"/>
            </w:pPr>
            <w:r>
              <w:rPr>
                <w:b/>
                <w:bCs/>
                <w:color w:val="FFFFFF"/>
                <w:sz w:val="18"/>
                <w:szCs w:val="18"/>
              </w:rPr>
              <w:t xml:space="preserve">Intended holder</w:t>
            </w:r>
          </w:p>
        </w:tc>
        <w:tc>
          <w:tcPr>
            <w:tcW w:type="dxa" w:w="4774"/>
            <w:shd w:fill="12314F" w:val="clear"/>
            <w:tcMar>
              <w:top w:type="dxa" w:w="90"/>
              <w:left w:type="dxa" w:w="120"/>
              <w:bottom w:type="dxa" w:w="90"/>
              <w:right w:type="dxa" w:w="120"/>
            </w:tcMar>
            <w:vAlign w:val="center"/>
          </w:tcPr>
          <w:p>
            <w:pPr>
              <w:spacing w:after="0" w:line="258"/>
            </w:pPr>
            <w:r>
              <w:rPr>
                <w:b/>
                <w:bCs/>
                <w:color w:val="FFFFFF"/>
                <w:sz w:val="18"/>
                <w:szCs w:val="18"/>
              </w:rPr>
              <w:t xml:space="preserve">Permissions</w:t>
            </w:r>
          </w:p>
        </w:tc>
      </w:tr>
      <w:tr>
        <w:tc>
          <w:tcPr>
            <w:tcW w:type="dxa" w:w="1778"/>
            <w:shd w:fill="FFFFFF" w:val="clear"/>
            <w:tcMar>
              <w:top w:type="dxa" w:w="90"/>
              <w:left w:type="dxa" w:w="120"/>
              <w:bottom w:type="dxa" w:w="90"/>
              <w:right w:type="dxa" w:w="120"/>
            </w:tcMar>
            <w:vAlign w:val="center"/>
          </w:tcPr>
          <w:p>
            <w:pPr>
              <w:spacing w:after="0" w:line="258"/>
            </w:pPr>
            <w:r>
              <w:rPr>
                <w:color w:val="1A1A1A"/>
                <w:sz w:val="19"/>
                <w:szCs w:val="19"/>
              </w:rPr>
              <w:t xml:space="preserve">NeoGRC Manager</w:t>
            </w:r>
          </w:p>
        </w:tc>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Compliance owner, CISO delegate</w:t>
            </w:r>
          </w:p>
        </w:tc>
        <w:tc>
          <w:tcPr>
            <w:tcW w:type="dxa" w:w="4774"/>
            <w:shd w:fill="FFFFFF" w:val="clear"/>
            <w:tcMar>
              <w:top w:type="dxa" w:w="90"/>
              <w:left w:type="dxa" w:w="120"/>
              <w:bottom w:type="dxa" w:w="90"/>
              <w:right w:type="dxa" w:w="120"/>
            </w:tcMar>
            <w:vAlign w:val="center"/>
          </w:tcPr>
          <w:p>
            <w:pPr>
              <w:spacing w:after="0" w:line="258"/>
            </w:pPr>
            <w:r>
              <w:rPr>
                <w:color w:val="1A1A1A"/>
                <w:sz w:val="19"/>
                <w:szCs w:val="19"/>
              </w:rPr>
              <w:t xml:space="preserve">Full control including delete on audit records, and approval of exceptions</w:t>
            </w:r>
          </w:p>
        </w:tc>
      </w:tr>
      <w:tr>
        <w:tc>
          <w:tcPr>
            <w:tcW w:type="dxa" w:w="1778"/>
            <w:shd w:fill="F7F6F3" w:val="clear"/>
            <w:tcMar>
              <w:top w:type="dxa" w:w="90"/>
              <w:left w:type="dxa" w:w="120"/>
              <w:bottom w:type="dxa" w:w="90"/>
              <w:right w:type="dxa" w:w="120"/>
            </w:tcMar>
            <w:vAlign w:val="center"/>
          </w:tcPr>
          <w:p>
            <w:pPr>
              <w:spacing w:after="0" w:line="258"/>
            </w:pPr>
            <w:r>
              <w:rPr>
                <w:color w:val="1A1A1A"/>
                <w:sz w:val="19"/>
                <w:szCs w:val="19"/>
              </w:rPr>
              <w:t xml:space="preserve">NeoGRC Engineer</w:t>
            </w:r>
          </w:p>
        </w:tc>
        <w:tc>
          <w:tcPr>
            <w:tcW w:type="dxa" w:w="2808"/>
            <w:shd w:fill="F7F6F3" w:val="clear"/>
            <w:tcMar>
              <w:top w:type="dxa" w:w="90"/>
              <w:left w:type="dxa" w:w="120"/>
              <w:bottom w:type="dxa" w:w="90"/>
              <w:right w:type="dxa" w:w="120"/>
            </w:tcMar>
            <w:vAlign w:val="center"/>
          </w:tcPr>
          <w:p>
            <w:pPr>
              <w:spacing w:after="0" w:line="258"/>
            </w:pPr>
            <w:r>
              <w:rPr>
                <w:color w:val="1A1A1A"/>
                <w:sz w:val="19"/>
                <w:szCs w:val="19"/>
              </w:rPr>
              <w:t xml:space="preserve">Security engineer, implementation consultant</w:t>
            </w:r>
          </w:p>
        </w:tc>
        <w:tc>
          <w:tcPr>
            <w:tcW w:type="dxa" w:w="4774"/>
            <w:shd w:fill="F7F6F3" w:val="clear"/>
            <w:tcMar>
              <w:top w:type="dxa" w:w="90"/>
              <w:left w:type="dxa" w:w="120"/>
              <w:bottom w:type="dxa" w:w="90"/>
              <w:right w:type="dxa" w:w="120"/>
            </w:tcMar>
            <w:vAlign w:val="center"/>
          </w:tcPr>
          <w:p>
            <w:pPr>
              <w:spacing w:after="0" w:line="258"/>
            </w:pPr>
            <w:r>
              <w:rPr>
                <w:color w:val="1A1A1A"/>
                <w:sz w:val="19"/>
                <w:szCs w:val="19"/>
              </w:rPr>
              <w:t xml:space="preserve">Create and edit connectors, fetchers and evidence sets; run collection and assessments; cannot delete audit records</w:t>
            </w:r>
          </w:p>
        </w:tc>
      </w:tr>
      <w:tr>
        <w:tc>
          <w:tcPr>
            <w:tcW w:type="dxa" w:w="1778"/>
            <w:shd w:fill="FFFFFF" w:val="clear"/>
            <w:tcMar>
              <w:top w:type="dxa" w:w="90"/>
              <w:left w:type="dxa" w:w="120"/>
              <w:bottom w:type="dxa" w:w="90"/>
              <w:right w:type="dxa" w:w="120"/>
            </w:tcMar>
            <w:vAlign w:val="center"/>
          </w:tcPr>
          <w:p>
            <w:pPr>
              <w:spacing w:after="0" w:line="258"/>
            </w:pPr>
            <w:r>
              <w:rPr>
                <w:color w:val="1A1A1A"/>
                <w:sz w:val="19"/>
                <w:szCs w:val="19"/>
              </w:rPr>
              <w:t xml:space="preserve">NeoGRC Auditor</w:t>
            </w:r>
          </w:p>
        </w:tc>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Internal audit, external assessor, regulator liaison</w:t>
            </w:r>
          </w:p>
        </w:tc>
        <w:tc>
          <w:tcPr>
            <w:tcW w:type="dxa" w:w="4774"/>
            <w:shd w:fill="FFFFFF" w:val="clear"/>
            <w:tcMar>
              <w:top w:type="dxa" w:w="90"/>
              <w:left w:type="dxa" w:w="120"/>
              <w:bottom w:type="dxa" w:w="90"/>
              <w:right w:type="dxa" w:w="120"/>
            </w:tcMar>
            <w:vAlign w:val="center"/>
          </w:tcPr>
          <w:p>
            <w:pPr>
              <w:spacing w:after="0" w:line="258"/>
            </w:pPr>
            <w:r>
              <w:rPr>
                <w:color w:val="1A1A1A"/>
                <w:sz w:val="19"/>
                <w:szCs w:val="19"/>
              </w:rPr>
              <w:t xml:space="preserve">Read-only across controls, findings, evidence, artifacts and assessments</w:t>
            </w:r>
          </w:p>
        </w:tc>
      </w:tr>
    </w:tbl>
    <w:p>
      <w:pPr>
        <w:spacing w:after="140" w:line="276"/>
      </w:pPr>
      <w:r>
        <w:rPr>
          <w:color w:val="1A1A1A"/>
          <w:sz w:val="21"/>
          <w:szCs w:val="21"/>
        </w:rPr>
        <w:t xml:space="preserve">The auditor role exists so an external assessor can be given a site login rather than an export. They see the evidence in place, with its hashes and run history intact, and can change nothing.</w:t>
      </w:r>
    </w:p>
    <w:p>
      <w:pPr>
        <w:pStyle w:val="Heading2"/>
        <w:spacing w:after="140" w:before="320"/>
      </w:pPr>
      <w:r>
        <w:rPr>
          <w:b/>
          <w:bCs/>
          <w:color w:val="12314F"/>
          <w:sz w:val="26"/>
          <w:szCs w:val="26"/>
        </w:rPr>
        <w:t xml:space="preserve">4.1  Segregation of duties on exceptions</w:t>
      </w:r>
    </w:p>
    <w:p>
      <w:pPr>
        <w:spacing w:after="140" w:line="276"/>
      </w:pPr>
      <w:r>
        <w:rPr>
          <w:color w:val="1A1A1A"/>
          <w:sz w:val="21"/>
          <w:szCs w:val="21"/>
        </w:rPr>
        <w:t xml:space="preserve">An exception is a documented decision not to meet a control. The controller blocks a user from approving an exception they raised themselves, regardless of role. A NeoGRC Manager who creates an exception must have a second NeoGRC Manager approve it.</w:t>
      </w:r>
    </w:p>
    <w:p>
      <w:pPr>
        <w:spacing w:after="140" w:line="276"/>
      </w:pPr>
      <w:r>
        <w:rPr>
          <w:color w:val="1A1A1A"/>
          <w:sz w:val="21"/>
          <w:szCs w:val="21"/>
        </w:rPr>
        <w:t xml:space="preserve">This is deliberately not configurable. An exception register where the requester is the approver documents nothing, and it is the first thing a competent auditor tests.</w:t>
      </w:r>
    </w:p>
    <w:p>
      <w:pPr>
        <w:pStyle w:val="Heading2"/>
        <w:spacing w:after="140" w:before="320"/>
      </w:pPr>
      <w:r>
        <w:rPr>
          <w:b/>
          <w:bCs/>
          <w:color w:val="12314F"/>
          <w:sz w:val="26"/>
          <w:szCs w:val="26"/>
        </w:rPr>
        <w:t xml:space="preserve">4.2  Policy acknowledgment</w:t>
      </w:r>
    </w:p>
    <w:p>
      <w:pPr>
        <w:spacing w:after="140" w:line="276"/>
      </w:pPr>
      <w:r>
        <w:rPr>
          <w:color w:val="1A1A1A"/>
          <w:sz w:val="21"/>
          <w:szCs w:val="21"/>
        </w:rPr>
        <w:t xml:space="preserve">Approving a policy issues one NeoGRC Policy Acknowledgment row per active employee, or per enabled desk user on sites without ERPNext. Rows are keyed to the policy version, so reissuing a policy at v3 starts a fresh round of sign-off rather than inheriting v2's.</w:t>
      </w:r>
    </w:p>
    <w:p>
      <w:pPr>
        <w:spacing w:after="140" w:line="276"/>
      </w:pPr>
      <w:r>
        <w:rPr>
          <w:color w:val="1A1A1A"/>
          <w:sz w:val="21"/>
          <w:szCs w:val="21"/>
        </w:rPr>
        <w:t xml:space="preserve">Only the subject may mark their own row acknowledged. A manager can create, reassign and delete rows but cannot sign for someone else, because an acknowledgment register signed off in a bulk edit is evidence of nothing. Awareness coverage then becomes measurable rather than asserted, and the EVD-Q-EMPLOYEE-ACK query fetcher reports it as a control.</w:t>
      </w:r>
    </w:p>
    <w:p>
      <w:pPr>
        <w:pStyle w:val="Heading1"/>
        <w:pageBreakBefore/>
        <w:pBdr>
          <w:bottom w:val="single" w:color="1B6E7D" w:sz="10" w:space="8"/>
        </w:pBdr>
        <w:spacing w:after="240" w:before="0"/>
      </w:pPr>
      <w:r>
        <w:rPr>
          <w:b/>
          <w:bCs/>
          <w:color w:val="12314F"/>
          <w:sz w:val="36"/>
          <w:szCs w:val="36"/>
        </w:rPr>
        <w:t xml:space="preserve">5  Evidence collection</w:t>
      </w:r>
    </w:p>
    <w:p>
      <w:pPr>
        <w:spacing w:after="80" w:before="200"/>
        <w:jc w:val="center"/>
      </w:pPr>
      <w:r>
        <w:drawing>
          <wp:inline distT="0" distB="0" distL="0" distR="0">
            <wp:extent cx="5905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90775"/>
                    </a:xfrm>
                    <a:prstGeom prst="rect">
                      <a:avLst/>
                    </a:prstGeom>
                  </pic:spPr>
                </pic:pic>
              </a:graphicData>
            </a:graphic>
          </wp:inline>
        </w:drawing>
      </w:r>
    </w:p>
    <w:p>
      <w:pPr>
        <w:spacing w:after="260"/>
        <w:jc w:val="center"/>
      </w:pPr>
      <w:r>
        <w:rPr>
          <w:i/>
          <w:iCs/>
          <w:color w:val="4A5C6A"/>
          <w:sz w:val="16"/>
          <w:szCs w:val="16"/>
        </w:rPr>
        <w:t xml:space="preserve">Figure 3 — The evidence run lifecycle and its terminal states</w:t>
      </w:r>
    </w:p>
    <w:p>
      <w:pPr>
        <w:pStyle w:val="Heading2"/>
        <w:spacing w:after="140" w:before="320"/>
      </w:pPr>
      <w:r>
        <w:rPr>
          <w:b/>
          <w:bCs/>
          <w:color w:val="12314F"/>
          <w:sz w:val="26"/>
          <w:szCs w:val="26"/>
        </w:rPr>
        <w:t xml:space="preserve">5.1  Connectors, fetchers and sets</w:t>
      </w:r>
    </w:p>
    <w:tbl>
      <w:tblPr>
        <w:tblW w:type="dxa" w:w="9360"/>
        <w:tblBorders>
          <w:top w:val="single" w:color="C9D0D6" w:sz="4"/>
          <w:left w:val="none"/>
          <w:bottom w:val="single" w:color="C9D0D6" w:sz="4"/>
          <w:right w:val="none"/>
          <w:insideH w:val="single" w:color="DDE2E6" w:sz="2"/>
          <w:insideV w:val="none"/>
        </w:tblBorders>
      </w:tblPr>
      <w:tblGrid>
        <w:gridCol w:w="2059"/>
        <w:gridCol w:w="3744"/>
        <w:gridCol w:w="3557"/>
      </w:tblGrid>
      <w:tr>
        <w:trPr>
          <w:tblHeader/>
        </w:trPr>
        <w:tc>
          <w:tcPr>
            <w:tcW w:type="dxa" w:w="2059"/>
            <w:shd w:fill="12314F" w:val="clear"/>
            <w:tcMar>
              <w:top w:type="dxa" w:w="90"/>
              <w:left w:type="dxa" w:w="120"/>
              <w:bottom w:type="dxa" w:w="90"/>
              <w:right w:type="dxa" w:w="120"/>
            </w:tcMar>
            <w:vAlign w:val="center"/>
          </w:tcPr>
          <w:p>
            <w:pPr>
              <w:spacing w:after="0" w:line="258"/>
            </w:pPr>
            <w:r>
              <w:rPr>
                <w:b/>
                <w:bCs/>
                <w:color w:val="FFFFFF"/>
                <w:sz w:val="18"/>
                <w:szCs w:val="18"/>
              </w:rPr>
              <w:t xml:space="preserve">Object</w:t>
            </w:r>
          </w:p>
        </w:tc>
        <w:tc>
          <w:tcPr>
            <w:tcW w:type="dxa" w:w="3744"/>
            <w:shd w:fill="12314F" w:val="clear"/>
            <w:tcMar>
              <w:top w:type="dxa" w:w="90"/>
              <w:left w:type="dxa" w:w="120"/>
              <w:bottom w:type="dxa" w:w="90"/>
              <w:right w:type="dxa" w:w="120"/>
            </w:tcMar>
            <w:vAlign w:val="center"/>
          </w:tcPr>
          <w:p>
            <w:pPr>
              <w:spacing w:after="0" w:line="258"/>
            </w:pPr>
            <w:r>
              <w:rPr>
                <w:b/>
                <w:bCs/>
                <w:color w:val="FFFFFF"/>
                <w:sz w:val="18"/>
                <w:szCs w:val="18"/>
              </w:rPr>
              <w:t xml:space="preserve">Describes</w:t>
            </w:r>
          </w:p>
        </w:tc>
        <w:tc>
          <w:tcPr>
            <w:tcW w:type="dxa" w:w="3557"/>
            <w:shd w:fill="12314F" w:val="clear"/>
            <w:tcMar>
              <w:top w:type="dxa" w:w="90"/>
              <w:left w:type="dxa" w:w="120"/>
              <w:bottom w:type="dxa" w:w="90"/>
              <w:right w:type="dxa" w:w="120"/>
            </w:tcMar>
            <w:vAlign w:val="center"/>
          </w:tcPr>
          <w:p>
            <w:pPr>
              <w:spacing w:after="0" w:line="258"/>
            </w:pPr>
            <w:r>
              <w:rPr>
                <w:b/>
                <w:bCs/>
                <w:color w:val="FFFFFF"/>
                <w:sz w:val="18"/>
                <w:szCs w:val="18"/>
              </w:rPr>
              <w:t xml:space="preserve">Example</w:t>
            </w:r>
          </w:p>
        </w:tc>
      </w:tr>
      <w:tr>
        <w:tc>
          <w:tcPr>
            <w:tcW w:type="dxa" w:w="2059"/>
            <w:shd w:fill="FFFFFF" w:val="clear"/>
            <w:tcMar>
              <w:top w:type="dxa" w:w="90"/>
              <w:left w:type="dxa" w:w="120"/>
              <w:bottom w:type="dxa" w:w="90"/>
              <w:right w:type="dxa" w:w="120"/>
            </w:tcMar>
            <w:vAlign w:val="center"/>
          </w:tcPr>
          <w:p>
            <w:pPr>
              <w:spacing w:after="0" w:line="258"/>
            </w:pPr>
            <w:r>
              <w:rPr>
                <w:color w:val="1A1A1A"/>
                <w:sz w:val="19"/>
                <w:szCs w:val="19"/>
              </w:rPr>
              <w:t xml:space="preserve">NeoGRC Connector</w:t>
            </w:r>
          </w:p>
        </w:tc>
        <w:tc>
          <w:tcPr>
            <w:tcW w:type="dxa" w:w="3744"/>
            <w:shd w:fill="FFFFFF" w:val="clear"/>
            <w:tcMar>
              <w:top w:type="dxa" w:w="90"/>
              <w:left w:type="dxa" w:w="120"/>
              <w:bottom w:type="dxa" w:w="90"/>
              <w:right w:type="dxa" w:w="120"/>
            </w:tcMar>
            <w:vAlign w:val="center"/>
          </w:tcPr>
          <w:p>
            <w:pPr>
              <w:spacing w:after="0" w:line="258"/>
            </w:pPr>
            <w:r>
              <w:rPr>
                <w:color w:val="1A1A1A"/>
                <w:sz w:val="19"/>
                <w:szCs w:val="19"/>
              </w:rPr>
              <w:t xml:space="preserve">A source system: handler type, auth mode, required binaries and environment variables, cache TTL.</w:t>
            </w:r>
          </w:p>
        </w:tc>
        <w:tc>
          <w:tcPr>
            <w:tcW w:type="dxa" w:w="3557"/>
            <w:shd w:fill="FFFFFF" w:val="clear"/>
            <w:tcMar>
              <w:top w:type="dxa" w:w="90"/>
              <w:left w:type="dxa" w:w="120"/>
              <w:bottom w:type="dxa" w:w="90"/>
              <w:right w:type="dxa" w:w="120"/>
            </w:tcMar>
            <w:vAlign w:val="center"/>
          </w:tcPr>
          <w:p>
            <w:pPr>
              <w:spacing w:after="0" w:line="258"/>
            </w:pPr>
            <w:r>
              <w:rPr>
                <w:color w:val="1A1A1A"/>
                <w:sz w:val="19"/>
                <w:szCs w:val="19"/>
              </w:rPr>
              <w:t xml:space="preserve">aws-inspector — shell handler, environment-variable auth, 24 hour TTL</w:t>
            </w:r>
          </w:p>
        </w:tc>
      </w:tr>
      <w:tr>
        <w:tc>
          <w:tcPr>
            <w:tcW w:type="dxa" w:w="2059"/>
            <w:shd w:fill="F7F6F3" w:val="clear"/>
            <w:tcMar>
              <w:top w:type="dxa" w:w="90"/>
              <w:left w:type="dxa" w:w="120"/>
              <w:bottom w:type="dxa" w:w="90"/>
              <w:right w:type="dxa" w:w="120"/>
            </w:tcMar>
            <w:vAlign w:val="center"/>
          </w:tcPr>
          <w:p>
            <w:pPr>
              <w:spacing w:after="0" w:line="258"/>
            </w:pPr>
            <w:r>
              <w:rPr>
                <w:color w:val="1A1A1A"/>
                <w:sz w:val="19"/>
                <w:szCs w:val="19"/>
              </w:rPr>
              <w:t xml:space="preserve">NeoGRC Evidence Fetcher</w:t>
            </w:r>
          </w:p>
        </w:tc>
        <w:tc>
          <w:tcPr>
            <w:tcW w:type="dxa" w:w="3744"/>
            <w:shd w:fill="F7F6F3" w:val="clear"/>
            <w:tcMar>
              <w:top w:type="dxa" w:w="90"/>
              <w:left w:type="dxa" w:w="120"/>
              <w:bottom w:type="dxa" w:w="90"/>
              <w:right w:type="dxa" w:w="120"/>
            </w:tcMar>
            <w:vAlign w:val="center"/>
          </w:tcPr>
          <w:p>
            <w:pPr>
              <w:spacing w:after="0" w:line="258"/>
            </w:pPr>
            <w:r>
              <w:rPr>
                <w:color w:val="1A1A1A"/>
                <w:sz w:val="19"/>
                <w:szCs w:val="19"/>
              </w:rPr>
              <w:t xml:space="preserve">One check within a connector, carrying its control mappings and validation rules.</w:t>
            </w:r>
          </w:p>
        </w:tc>
        <w:tc>
          <w:tcPr>
            <w:tcW w:type="dxa" w:w="3557"/>
            <w:shd w:fill="F7F6F3" w:val="clear"/>
            <w:tcMar>
              <w:top w:type="dxa" w:w="90"/>
              <w:left w:type="dxa" w:w="120"/>
              <w:bottom w:type="dxa" w:w="90"/>
              <w:right w:type="dxa" w:w="120"/>
            </w:tcMar>
            <w:vAlign w:val="center"/>
          </w:tcPr>
          <w:p>
            <w:pPr>
              <w:spacing w:after="0" w:line="258"/>
            </w:pPr>
            <w:r>
              <w:rPr>
                <w:color w:val="1A1A1A"/>
                <w:sz w:val="19"/>
                <w:szCs w:val="19"/>
              </w:rPr>
              <w:t xml:space="preserve">EVD-BLOCK-ENC — are all EBS volumes encrypted?</w:t>
            </w:r>
          </w:p>
        </w:tc>
      </w:tr>
      <w:tr>
        <w:tc>
          <w:tcPr>
            <w:tcW w:type="dxa" w:w="2059"/>
            <w:shd w:fill="FFFFFF" w:val="clear"/>
            <w:tcMar>
              <w:top w:type="dxa" w:w="90"/>
              <w:left w:type="dxa" w:w="120"/>
              <w:bottom w:type="dxa" w:w="90"/>
              <w:right w:type="dxa" w:w="120"/>
            </w:tcMar>
            <w:vAlign w:val="center"/>
          </w:tcPr>
          <w:p>
            <w:pPr>
              <w:spacing w:after="0" w:line="258"/>
            </w:pPr>
            <w:r>
              <w:rPr>
                <w:color w:val="1A1A1A"/>
                <w:sz w:val="19"/>
                <w:szCs w:val="19"/>
              </w:rPr>
              <w:t xml:space="preserve">NeoGRC Evidence Set</w:t>
            </w:r>
          </w:p>
        </w:tc>
        <w:tc>
          <w:tcPr>
            <w:tcW w:type="dxa" w:w="3744"/>
            <w:shd w:fill="FFFFFF" w:val="clear"/>
            <w:tcMar>
              <w:top w:type="dxa" w:w="90"/>
              <w:left w:type="dxa" w:w="120"/>
              <w:bottom w:type="dxa" w:w="90"/>
              <w:right w:type="dxa" w:w="120"/>
            </w:tcMar>
            <w:vAlign w:val="center"/>
          </w:tcPr>
          <w:p>
            <w:pPr>
              <w:spacing w:after="0" w:line="258"/>
            </w:pPr>
            <w:r>
              <w:rPr>
                <w:color w:val="1A1A1A"/>
                <w:sz w:val="19"/>
                <w:szCs w:val="19"/>
              </w:rPr>
              <w:t xml:space="preserve">A named group of fetchers with a schedule and a target framework.</w:t>
            </w:r>
          </w:p>
        </w:tc>
        <w:tc>
          <w:tcPr>
            <w:tcW w:type="dxa" w:w="3557"/>
            <w:shd w:fill="FFFFFF" w:val="clear"/>
            <w:tcMar>
              <w:top w:type="dxa" w:w="90"/>
              <w:left w:type="dxa" w:w="120"/>
              <w:bottom w:type="dxa" w:w="90"/>
              <w:right w:type="dxa" w:w="120"/>
            </w:tcMar>
            <w:vAlign w:val="center"/>
          </w:tcPr>
          <w:p>
            <w:pPr>
              <w:spacing w:after="0" w:line="258"/>
            </w:pPr>
            <w:r>
              <w:rPr>
                <w:color w:val="1A1A1A"/>
                <w:sz w:val="19"/>
                <w:szCs w:val="19"/>
              </w:rPr>
              <w:t xml:space="preserve">ES-KSA-ECC-CORE — monthly, scoped to NCA ECC-2</w:t>
            </w:r>
          </w:p>
        </w:tc>
      </w:tr>
    </w:tbl>
    <w:p>
      <w:pPr>
        <w:pStyle w:val="Heading2"/>
        <w:spacing w:after="140" w:before="320"/>
      </w:pPr>
      <w:r>
        <w:rPr>
          <w:b/>
          <w:bCs/>
          <w:color w:val="12314F"/>
          <w:sz w:val="26"/>
          <w:szCs w:val="26"/>
        </w:rPr>
        <w:t xml:space="preserve">5.2  Seeded connectors</w:t>
      </w:r>
    </w:p>
    <w:tbl>
      <w:tblPr>
        <w:tblW w:type="dxa" w:w="9360"/>
        <w:tblBorders>
          <w:top w:val="single" w:color="C9D0D6" w:sz="4"/>
          <w:left w:val="none"/>
          <w:bottom w:val="single" w:color="C9D0D6" w:sz="4"/>
          <w:right w:val="none"/>
          <w:insideH w:val="single" w:color="DDE2E6" w:sz="2"/>
          <w:insideV w:val="none"/>
        </w:tblBorders>
      </w:tblPr>
      <w:tblGrid>
        <w:gridCol w:w="3182"/>
        <w:gridCol w:w="1685"/>
        <w:gridCol w:w="1872"/>
        <w:gridCol w:w="2621"/>
      </w:tblGrid>
      <w:tr>
        <w:trPr>
          <w:tblHeader/>
        </w:trPr>
        <w:tc>
          <w:tcPr>
            <w:tcW w:type="dxa" w:w="3182"/>
            <w:shd w:fill="12314F" w:val="clear"/>
            <w:tcMar>
              <w:top w:type="dxa" w:w="90"/>
              <w:left w:type="dxa" w:w="120"/>
              <w:bottom w:type="dxa" w:w="90"/>
              <w:right w:type="dxa" w:w="120"/>
            </w:tcMar>
            <w:vAlign w:val="center"/>
          </w:tcPr>
          <w:p>
            <w:pPr>
              <w:spacing w:after="0" w:line="258"/>
            </w:pPr>
            <w:r>
              <w:rPr>
                <w:b/>
                <w:bCs/>
                <w:color w:val="FFFFFF"/>
                <w:sz w:val="18"/>
                <w:szCs w:val="18"/>
              </w:rPr>
              <w:t xml:space="preserve">Connector</w:t>
            </w:r>
          </w:p>
        </w:tc>
        <w:tc>
          <w:tcPr>
            <w:tcW w:type="dxa" w:w="1685"/>
            <w:shd w:fill="12314F" w:val="clear"/>
            <w:tcMar>
              <w:top w:type="dxa" w:w="90"/>
              <w:left w:type="dxa" w:w="120"/>
              <w:bottom w:type="dxa" w:w="90"/>
              <w:right w:type="dxa" w:w="120"/>
            </w:tcMar>
            <w:vAlign w:val="center"/>
          </w:tcPr>
          <w:p>
            <w:pPr>
              <w:spacing w:after="0" w:line="258"/>
            </w:pPr>
            <w:r>
              <w:rPr>
                <w:b/>
                <w:bCs/>
                <w:color w:val="FFFFFF"/>
                <w:sz w:val="18"/>
                <w:szCs w:val="18"/>
              </w:rPr>
              <w:t xml:space="preserve">Type</w:t>
            </w:r>
          </w:p>
        </w:tc>
        <w:tc>
          <w:tcPr>
            <w:tcW w:type="dxa" w:w="1872"/>
            <w:shd w:fill="12314F" w:val="clear"/>
            <w:tcMar>
              <w:top w:type="dxa" w:w="90"/>
              <w:left w:type="dxa" w:w="120"/>
              <w:bottom w:type="dxa" w:w="90"/>
              <w:right w:type="dxa" w:w="120"/>
            </w:tcMar>
            <w:vAlign w:val="center"/>
          </w:tcPr>
          <w:p>
            <w:pPr>
              <w:spacing w:after="0" w:line="258"/>
            </w:pPr>
            <w:r>
              <w:rPr>
                <w:b/>
                <w:bCs/>
                <w:color w:val="FFFFFF"/>
                <w:sz w:val="18"/>
                <w:szCs w:val="18"/>
              </w:rPr>
              <w:t xml:space="preserve">Fetchers</w:t>
            </w:r>
          </w:p>
        </w:tc>
        <w:tc>
          <w:tcPr>
            <w:tcW w:type="dxa" w:w="2621"/>
            <w:shd w:fill="12314F" w:val="clear"/>
            <w:tcMar>
              <w:top w:type="dxa" w:w="90"/>
              <w:left w:type="dxa" w:w="120"/>
              <w:bottom w:type="dxa" w:w="90"/>
              <w:right w:type="dxa" w:w="120"/>
            </w:tcMar>
            <w:vAlign w:val="center"/>
          </w:tcPr>
          <w:p>
            <w:pPr>
              <w:spacing w:after="0" w:line="258"/>
            </w:pPr>
            <w:r>
              <w:rPr>
                <w:b/>
                <w:bCs/>
                <w:color w:val="FFFFFF"/>
                <w:sz w:val="18"/>
                <w:szCs w:val="18"/>
              </w:rPr>
              <w:t xml:space="preserve">Ships</w:t>
            </w:r>
          </w:p>
        </w:tc>
      </w:tr>
      <w:tr>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erpnext-internal</w:t>
            </w:r>
          </w:p>
        </w:tc>
        <w:tc>
          <w:tcPr>
            <w:tcW w:type="dxa" w:w="1685"/>
            <w:shd w:fill="FFFFFF" w:val="clear"/>
            <w:tcMar>
              <w:top w:type="dxa" w:w="90"/>
              <w:left w:type="dxa" w:w="120"/>
              <w:bottom w:type="dxa" w:w="90"/>
              <w:right w:type="dxa" w:w="120"/>
            </w:tcMar>
            <w:vAlign w:val="center"/>
          </w:tcPr>
          <w:p>
            <w:pPr>
              <w:spacing w:after="0" w:line="258"/>
            </w:pPr>
            <w:r>
              <w:rPr>
                <w:color w:val="1A1A1A"/>
                <w:sz w:val="19"/>
                <w:szCs w:val="19"/>
              </w:rPr>
              <w:t xml:space="preserve">Python</w:t>
            </w:r>
          </w:p>
        </w:tc>
        <w:tc>
          <w:tcPr>
            <w:tcW w:type="dxa" w:w="1872"/>
            <w:shd w:fill="FFFFFF" w:val="clear"/>
            <w:tcMar>
              <w:top w:type="dxa" w:w="90"/>
              <w:left w:type="dxa" w:w="120"/>
              <w:bottom w:type="dxa" w:w="90"/>
              <w:right w:type="dxa" w:w="120"/>
            </w:tcMar>
            <w:vAlign w:val="center"/>
          </w:tcPr>
          <w:p>
            <w:pPr>
              <w:spacing w:after="0" w:line="258"/>
            </w:pPr>
            <w:r>
              <w:rPr>
                <w:color w:val="1A1A1A"/>
                <w:sz w:val="19"/>
                <w:szCs w:val="19"/>
              </w:rPr>
              <w:t xml:space="preserve">11</w:t>
            </w:r>
          </w:p>
        </w:tc>
        <w:tc>
          <w:tcPr>
            <w:tcW w:type="dxa" w:w="2621"/>
            <w:shd w:fill="FFFFFF" w:val="clear"/>
            <w:tcMar>
              <w:top w:type="dxa" w:w="90"/>
              <w:left w:type="dxa" w:w="120"/>
              <w:bottom w:type="dxa" w:w="90"/>
              <w:right w:type="dxa" w:w="120"/>
            </w:tcMar>
            <w:vAlign w:val="center"/>
          </w:tcPr>
          <w:p>
            <w:pPr>
              <w:spacing w:after="0" w:line="258"/>
            </w:pPr>
            <w:r>
              <w:rPr>
                <w:color w:val="1A1A1A"/>
                <w:sz w:val="19"/>
                <w:szCs w:val="19"/>
              </w:rPr>
              <w:t xml:space="preserve">Enabled</w:t>
            </w:r>
          </w:p>
        </w:tc>
      </w:tr>
      <w:tr>
        <w:tc>
          <w:tcPr>
            <w:tcW w:type="dxa" w:w="3182"/>
            <w:shd w:fill="F7F6F3" w:val="clear"/>
            <w:tcMar>
              <w:top w:type="dxa" w:w="90"/>
              <w:left w:type="dxa" w:w="120"/>
              <w:bottom w:type="dxa" w:w="90"/>
              <w:right w:type="dxa" w:w="120"/>
            </w:tcMar>
            <w:vAlign w:val="center"/>
          </w:tcPr>
          <w:p>
            <w:pPr>
              <w:spacing w:after="0" w:line="258"/>
            </w:pPr>
            <w:r>
              <w:rPr>
                <w:color w:val="1A1A1A"/>
                <w:sz w:val="19"/>
                <w:szCs w:val="19"/>
              </w:rPr>
              <w:t xml:space="preserve">erpnext-query</w:t>
            </w:r>
          </w:p>
        </w:tc>
        <w:tc>
          <w:tcPr>
            <w:tcW w:type="dxa" w:w="1685"/>
            <w:shd w:fill="F7F6F3" w:val="clear"/>
            <w:tcMar>
              <w:top w:type="dxa" w:w="90"/>
              <w:left w:type="dxa" w:w="120"/>
              <w:bottom w:type="dxa" w:w="90"/>
              <w:right w:type="dxa" w:w="120"/>
            </w:tcMar>
            <w:vAlign w:val="center"/>
          </w:tcPr>
          <w:p>
            <w:pPr>
              <w:spacing w:after="0" w:line="258"/>
            </w:pPr>
            <w:r>
              <w:rPr>
                <w:color w:val="1A1A1A"/>
                <w:sz w:val="19"/>
                <w:szCs w:val="19"/>
              </w:rPr>
              <w:t xml:space="preserve">Internal Query</w:t>
            </w:r>
          </w:p>
        </w:tc>
        <w:tc>
          <w:tcPr>
            <w:tcW w:type="dxa" w:w="1872"/>
            <w:shd w:fill="F7F6F3" w:val="clear"/>
            <w:tcMar>
              <w:top w:type="dxa" w:w="90"/>
              <w:left w:type="dxa" w:w="120"/>
              <w:bottom w:type="dxa" w:w="90"/>
              <w:right w:type="dxa" w:w="120"/>
            </w:tcMar>
            <w:vAlign w:val="center"/>
          </w:tcPr>
          <w:p>
            <w:pPr>
              <w:spacing w:after="0" w:line="258"/>
            </w:pPr>
            <w:r>
              <w:rPr>
                <w:color w:val="1A1A1A"/>
                <w:sz w:val="19"/>
                <w:szCs w:val="19"/>
              </w:rPr>
              <w:t xml:space="preserve">9</w:t>
            </w:r>
          </w:p>
        </w:tc>
        <w:tc>
          <w:tcPr>
            <w:tcW w:type="dxa" w:w="2621"/>
            <w:shd w:fill="F7F6F3" w:val="clear"/>
            <w:tcMar>
              <w:top w:type="dxa" w:w="90"/>
              <w:left w:type="dxa" w:w="120"/>
              <w:bottom w:type="dxa" w:w="90"/>
              <w:right w:type="dxa" w:w="120"/>
            </w:tcMar>
            <w:vAlign w:val="center"/>
          </w:tcPr>
          <w:p>
            <w:pPr>
              <w:spacing w:after="0" w:line="258"/>
            </w:pPr>
            <w:r>
              <w:rPr>
                <w:color w:val="1A1A1A"/>
                <w:sz w:val="19"/>
                <w:szCs w:val="19"/>
              </w:rPr>
              <w:t xml:space="preserve">Enabled</w:t>
            </w:r>
          </w:p>
        </w:tc>
      </w:tr>
      <w:tr>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aws-inspector</w:t>
            </w:r>
          </w:p>
        </w:tc>
        <w:tc>
          <w:tcPr>
            <w:tcW w:type="dxa" w:w="1685"/>
            <w:shd w:fill="FFFFFF" w:val="clear"/>
            <w:tcMar>
              <w:top w:type="dxa" w:w="90"/>
              <w:left w:type="dxa" w:w="120"/>
              <w:bottom w:type="dxa" w:w="90"/>
              <w:right w:type="dxa" w:w="120"/>
            </w:tcMar>
            <w:vAlign w:val="center"/>
          </w:tcPr>
          <w:p>
            <w:pPr>
              <w:spacing w:after="0" w:line="258"/>
            </w:pPr>
            <w:r>
              <w:rPr>
                <w:color w:val="1A1A1A"/>
                <w:sz w:val="19"/>
                <w:szCs w:val="19"/>
              </w:rPr>
              <w:t xml:space="preserve">Shell</w:t>
            </w:r>
          </w:p>
        </w:tc>
        <w:tc>
          <w:tcPr>
            <w:tcW w:type="dxa" w:w="1872"/>
            <w:shd w:fill="FFFFFF" w:val="clear"/>
            <w:tcMar>
              <w:top w:type="dxa" w:w="90"/>
              <w:left w:type="dxa" w:w="120"/>
              <w:bottom w:type="dxa" w:w="90"/>
              <w:right w:type="dxa" w:w="120"/>
            </w:tcMar>
            <w:vAlign w:val="center"/>
          </w:tcPr>
          <w:p>
            <w:pPr>
              <w:spacing w:after="0" w:line="258"/>
            </w:pPr>
            <w:r>
              <w:rPr>
                <w:color w:val="1A1A1A"/>
                <w:sz w:val="19"/>
                <w:szCs w:val="19"/>
              </w:rPr>
              <w:t xml:space="preserve">11</w:t>
            </w:r>
          </w:p>
        </w:tc>
        <w:tc>
          <w:tcPr>
            <w:tcW w:type="dxa" w:w="2621"/>
            <w:shd w:fill="FFFFFF" w:val="clear"/>
            <w:tcMar>
              <w:top w:type="dxa" w:w="90"/>
              <w:left w:type="dxa" w:w="120"/>
              <w:bottom w:type="dxa" w:w="90"/>
              <w:right w:type="dxa" w:w="120"/>
            </w:tcMar>
            <w:vAlign w:val="center"/>
          </w:tcPr>
          <w:p>
            <w:pPr>
              <w:spacing w:after="0" w:line="258"/>
            </w:pPr>
            <w:r>
              <w:rPr>
                <w:color w:val="1A1A1A"/>
                <w:sz w:val="19"/>
                <w:szCs w:val="19"/>
              </w:rPr>
              <w:t xml:space="preserve">Disabled</w:t>
            </w:r>
          </w:p>
        </w:tc>
      </w:tr>
      <w:tr>
        <w:tc>
          <w:tcPr>
            <w:tcW w:type="dxa" w:w="3182"/>
            <w:shd w:fill="F7F6F3" w:val="clear"/>
            <w:tcMar>
              <w:top w:type="dxa" w:w="90"/>
              <w:left w:type="dxa" w:w="120"/>
              <w:bottom w:type="dxa" w:w="90"/>
              <w:right w:type="dxa" w:w="120"/>
            </w:tcMar>
            <w:vAlign w:val="center"/>
          </w:tcPr>
          <w:p>
            <w:pPr>
              <w:spacing w:after="0" w:line="258"/>
            </w:pPr>
            <w:r>
              <w:rPr>
                <w:color w:val="1A1A1A"/>
                <w:sz w:val="19"/>
                <w:szCs w:val="19"/>
              </w:rPr>
              <w:t xml:space="preserve">k8s-inspector</w:t>
            </w:r>
          </w:p>
        </w:tc>
        <w:tc>
          <w:tcPr>
            <w:tcW w:type="dxa" w:w="1685"/>
            <w:shd w:fill="F7F6F3" w:val="clear"/>
            <w:tcMar>
              <w:top w:type="dxa" w:w="90"/>
              <w:left w:type="dxa" w:w="120"/>
              <w:bottom w:type="dxa" w:w="90"/>
              <w:right w:type="dxa" w:w="120"/>
            </w:tcMar>
            <w:vAlign w:val="center"/>
          </w:tcPr>
          <w:p>
            <w:pPr>
              <w:spacing w:after="0" w:line="258"/>
            </w:pPr>
            <w:r>
              <w:rPr>
                <w:color w:val="1A1A1A"/>
                <w:sz w:val="19"/>
                <w:szCs w:val="19"/>
              </w:rPr>
              <w:t xml:space="preserve">Shell</w:t>
            </w:r>
          </w:p>
        </w:tc>
        <w:tc>
          <w:tcPr>
            <w:tcW w:type="dxa" w:w="1872"/>
            <w:shd w:fill="F7F6F3" w:val="clear"/>
            <w:tcMar>
              <w:top w:type="dxa" w:w="90"/>
              <w:left w:type="dxa" w:w="120"/>
              <w:bottom w:type="dxa" w:w="90"/>
              <w:right w:type="dxa" w:w="120"/>
            </w:tcMar>
            <w:vAlign w:val="center"/>
          </w:tcPr>
          <w:p>
            <w:pPr>
              <w:spacing w:after="0" w:line="258"/>
            </w:pPr>
            <w:r>
              <w:rPr>
                <w:color w:val="1A1A1A"/>
                <w:sz w:val="19"/>
                <w:szCs w:val="19"/>
              </w:rPr>
              <w:t xml:space="preserve">2</w:t>
            </w:r>
          </w:p>
        </w:tc>
        <w:tc>
          <w:tcPr>
            <w:tcW w:type="dxa" w:w="2621"/>
            <w:shd w:fill="F7F6F3" w:val="clear"/>
            <w:tcMar>
              <w:top w:type="dxa" w:w="90"/>
              <w:left w:type="dxa" w:w="120"/>
              <w:bottom w:type="dxa" w:w="90"/>
              <w:right w:type="dxa" w:w="120"/>
            </w:tcMar>
            <w:vAlign w:val="center"/>
          </w:tcPr>
          <w:p>
            <w:pPr>
              <w:spacing w:after="0" w:line="258"/>
            </w:pPr>
            <w:r>
              <w:rPr>
                <w:color w:val="1A1A1A"/>
                <w:sz w:val="19"/>
                <w:szCs w:val="19"/>
              </w:rPr>
              <w:t xml:space="preserve">Disabled</w:t>
            </w:r>
          </w:p>
        </w:tc>
      </w:tr>
      <w:tr>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okta-inspector</w:t>
            </w:r>
          </w:p>
        </w:tc>
        <w:tc>
          <w:tcPr>
            <w:tcW w:type="dxa" w:w="1685"/>
            <w:shd w:fill="FFFFFF" w:val="clear"/>
            <w:tcMar>
              <w:top w:type="dxa" w:w="90"/>
              <w:left w:type="dxa" w:w="120"/>
              <w:bottom w:type="dxa" w:w="90"/>
              <w:right w:type="dxa" w:w="120"/>
            </w:tcMar>
            <w:vAlign w:val="center"/>
          </w:tcPr>
          <w:p>
            <w:pPr>
              <w:spacing w:after="0" w:line="258"/>
            </w:pPr>
            <w:r>
              <w:rPr>
                <w:color w:val="1A1A1A"/>
                <w:sz w:val="19"/>
                <w:szCs w:val="19"/>
              </w:rPr>
              <w:t xml:space="preserve">Shell</w:t>
            </w:r>
          </w:p>
        </w:tc>
        <w:tc>
          <w:tcPr>
            <w:tcW w:type="dxa" w:w="1872"/>
            <w:shd w:fill="FFFFFF" w:val="clear"/>
            <w:tcMar>
              <w:top w:type="dxa" w:w="90"/>
              <w:left w:type="dxa" w:w="120"/>
              <w:bottom w:type="dxa" w:w="90"/>
              <w:right w:type="dxa" w:w="120"/>
            </w:tcMar>
            <w:vAlign w:val="center"/>
          </w:tcPr>
          <w:p>
            <w:pPr>
              <w:spacing w:after="0" w:line="258"/>
            </w:pPr>
            <w:r>
              <w:rPr>
                <w:color w:val="1A1A1A"/>
                <w:sz w:val="19"/>
                <w:szCs w:val="19"/>
              </w:rPr>
              <w:t xml:space="preserve">2</w:t>
            </w:r>
          </w:p>
        </w:tc>
        <w:tc>
          <w:tcPr>
            <w:tcW w:type="dxa" w:w="2621"/>
            <w:shd w:fill="FFFFFF" w:val="clear"/>
            <w:tcMar>
              <w:top w:type="dxa" w:w="90"/>
              <w:left w:type="dxa" w:w="120"/>
              <w:bottom w:type="dxa" w:w="90"/>
              <w:right w:type="dxa" w:w="120"/>
            </w:tcMar>
            <w:vAlign w:val="center"/>
          </w:tcPr>
          <w:p>
            <w:pPr>
              <w:spacing w:after="0" w:line="258"/>
            </w:pPr>
            <w:r>
              <w:rPr>
                <w:color w:val="1A1A1A"/>
                <w:sz w:val="19"/>
                <w:szCs w:val="19"/>
              </w:rPr>
              <w:t xml:space="preserve">Disabled</w:t>
            </w:r>
          </w:p>
        </w:tc>
      </w:tr>
      <w:tr>
        <w:tc>
          <w:tcPr>
            <w:tcW w:type="dxa" w:w="3182"/>
            <w:shd w:fill="F7F6F3" w:val="clear"/>
            <w:tcMar>
              <w:top w:type="dxa" w:w="90"/>
              <w:left w:type="dxa" w:w="120"/>
              <w:bottom w:type="dxa" w:w="90"/>
              <w:right w:type="dxa" w:w="120"/>
            </w:tcMar>
            <w:vAlign w:val="center"/>
          </w:tcPr>
          <w:p>
            <w:pPr>
              <w:spacing w:after="0" w:line="258"/>
            </w:pPr>
            <w:r>
              <w:rPr>
                <w:color w:val="1A1A1A"/>
                <w:sz w:val="19"/>
                <w:szCs w:val="19"/>
              </w:rPr>
              <w:t xml:space="preserve">gitlab-inspector</w:t>
            </w:r>
          </w:p>
        </w:tc>
        <w:tc>
          <w:tcPr>
            <w:tcW w:type="dxa" w:w="1685"/>
            <w:shd w:fill="F7F6F3" w:val="clear"/>
            <w:tcMar>
              <w:top w:type="dxa" w:w="90"/>
              <w:left w:type="dxa" w:w="120"/>
              <w:bottom w:type="dxa" w:w="90"/>
              <w:right w:type="dxa" w:w="120"/>
            </w:tcMar>
            <w:vAlign w:val="center"/>
          </w:tcPr>
          <w:p>
            <w:pPr>
              <w:spacing w:after="0" w:line="258"/>
            </w:pPr>
            <w:r>
              <w:rPr>
                <w:color w:val="1A1A1A"/>
                <w:sz w:val="19"/>
                <w:szCs w:val="19"/>
              </w:rPr>
              <w:t xml:space="preserve">Shell</w:t>
            </w:r>
          </w:p>
        </w:tc>
        <w:tc>
          <w:tcPr>
            <w:tcW w:type="dxa" w:w="1872"/>
            <w:shd w:fill="F7F6F3" w:val="clear"/>
            <w:tcMar>
              <w:top w:type="dxa" w:w="90"/>
              <w:left w:type="dxa" w:w="120"/>
              <w:bottom w:type="dxa" w:w="90"/>
              <w:right w:type="dxa" w:w="120"/>
            </w:tcMar>
            <w:vAlign w:val="center"/>
          </w:tcPr>
          <w:p>
            <w:pPr>
              <w:spacing w:after="0" w:line="258"/>
            </w:pPr>
            <w:r>
              <w:rPr>
                <w:color w:val="1A1A1A"/>
                <w:sz w:val="19"/>
                <w:szCs w:val="19"/>
              </w:rPr>
              <w:t xml:space="preserve">2</w:t>
            </w:r>
          </w:p>
        </w:tc>
        <w:tc>
          <w:tcPr>
            <w:tcW w:type="dxa" w:w="2621"/>
            <w:shd w:fill="F7F6F3" w:val="clear"/>
            <w:tcMar>
              <w:top w:type="dxa" w:w="90"/>
              <w:left w:type="dxa" w:w="120"/>
              <w:bottom w:type="dxa" w:w="90"/>
              <w:right w:type="dxa" w:w="120"/>
            </w:tcMar>
            <w:vAlign w:val="center"/>
          </w:tcPr>
          <w:p>
            <w:pPr>
              <w:spacing w:after="0" w:line="258"/>
            </w:pPr>
            <w:r>
              <w:rPr>
                <w:color w:val="1A1A1A"/>
                <w:sz w:val="19"/>
                <w:szCs w:val="19"/>
              </w:rPr>
              <w:t xml:space="preserve">Disabled</w:t>
            </w:r>
          </w:p>
        </w:tc>
      </w:tr>
      <w:tr>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github-inspector</w:t>
            </w:r>
          </w:p>
        </w:tc>
        <w:tc>
          <w:tcPr>
            <w:tcW w:type="dxa" w:w="1685"/>
            <w:shd w:fill="FFFFFF" w:val="clear"/>
            <w:tcMar>
              <w:top w:type="dxa" w:w="90"/>
              <w:left w:type="dxa" w:w="120"/>
              <w:bottom w:type="dxa" w:w="90"/>
              <w:right w:type="dxa" w:w="120"/>
            </w:tcMar>
            <w:vAlign w:val="center"/>
          </w:tcPr>
          <w:p>
            <w:pPr>
              <w:spacing w:after="0" w:line="258"/>
            </w:pPr>
            <w:r>
              <w:rPr>
                <w:color w:val="1A1A1A"/>
                <w:sz w:val="19"/>
                <w:szCs w:val="19"/>
              </w:rPr>
              <w:t xml:space="preserve">Shell</w:t>
            </w:r>
          </w:p>
        </w:tc>
        <w:tc>
          <w:tcPr>
            <w:tcW w:type="dxa" w:w="1872"/>
            <w:shd w:fill="FFFFFF" w:val="clear"/>
            <w:tcMar>
              <w:top w:type="dxa" w:w="90"/>
              <w:left w:type="dxa" w:w="120"/>
              <w:bottom w:type="dxa" w:w="90"/>
              <w:right w:type="dxa" w:w="120"/>
            </w:tcMar>
            <w:vAlign w:val="center"/>
          </w:tcPr>
          <w:p>
            <w:pPr>
              <w:spacing w:after="0" w:line="258"/>
            </w:pPr>
            <w:r>
              <w:rPr>
                <w:color w:val="1A1A1A"/>
                <w:sz w:val="19"/>
                <w:szCs w:val="19"/>
              </w:rPr>
              <w:t xml:space="preserve">—</w:t>
            </w:r>
          </w:p>
        </w:tc>
        <w:tc>
          <w:tcPr>
            <w:tcW w:type="dxa" w:w="2621"/>
            <w:shd w:fill="FFFFFF" w:val="clear"/>
            <w:tcMar>
              <w:top w:type="dxa" w:w="90"/>
              <w:left w:type="dxa" w:w="120"/>
              <w:bottom w:type="dxa" w:w="90"/>
              <w:right w:type="dxa" w:w="120"/>
            </w:tcMar>
            <w:vAlign w:val="center"/>
          </w:tcPr>
          <w:p>
            <w:pPr>
              <w:spacing w:after="0" w:line="258"/>
            </w:pPr>
            <w:r>
              <w:rPr>
                <w:color w:val="1A1A1A"/>
                <w:sz w:val="19"/>
                <w:szCs w:val="19"/>
              </w:rPr>
              <w:t xml:space="preserve">Disabled</w:t>
            </w:r>
          </w:p>
        </w:tc>
      </w:tr>
      <w:tr>
        <w:tc>
          <w:tcPr>
            <w:tcW w:type="dxa" w:w="3182"/>
            <w:shd w:fill="F7F6F3" w:val="clear"/>
            <w:tcMar>
              <w:top w:type="dxa" w:w="90"/>
              <w:left w:type="dxa" w:w="120"/>
              <w:bottom w:type="dxa" w:w="90"/>
              <w:right w:type="dxa" w:w="120"/>
            </w:tcMar>
            <w:vAlign w:val="center"/>
          </w:tcPr>
          <w:p>
            <w:pPr>
              <w:spacing w:after="0" w:line="258"/>
            </w:pPr>
            <w:r>
              <w:rPr>
                <w:color w:val="1A1A1A"/>
                <w:sz w:val="19"/>
                <w:szCs w:val="19"/>
              </w:rPr>
              <w:t xml:space="preserve">wiz-inspector</w:t>
            </w:r>
          </w:p>
        </w:tc>
        <w:tc>
          <w:tcPr>
            <w:tcW w:type="dxa" w:w="1685"/>
            <w:shd w:fill="F7F6F3" w:val="clear"/>
            <w:tcMar>
              <w:top w:type="dxa" w:w="90"/>
              <w:left w:type="dxa" w:w="120"/>
              <w:bottom w:type="dxa" w:w="90"/>
              <w:right w:type="dxa" w:w="120"/>
            </w:tcMar>
            <w:vAlign w:val="center"/>
          </w:tcPr>
          <w:p>
            <w:pPr>
              <w:spacing w:after="0" w:line="258"/>
            </w:pPr>
            <w:r>
              <w:rPr>
                <w:color w:val="1A1A1A"/>
                <w:sz w:val="19"/>
                <w:szCs w:val="19"/>
              </w:rPr>
              <w:t xml:space="preserve">Shell</w:t>
            </w:r>
          </w:p>
        </w:tc>
        <w:tc>
          <w:tcPr>
            <w:tcW w:type="dxa" w:w="1872"/>
            <w:shd w:fill="F7F6F3" w:val="clear"/>
            <w:tcMar>
              <w:top w:type="dxa" w:w="90"/>
              <w:left w:type="dxa" w:w="120"/>
              <w:bottom w:type="dxa" w:w="90"/>
              <w:right w:type="dxa" w:w="120"/>
            </w:tcMar>
            <w:vAlign w:val="center"/>
          </w:tcPr>
          <w:p>
            <w:pPr>
              <w:spacing w:after="0" w:line="258"/>
            </w:pPr>
            <w:r>
              <w:rPr>
                <w:color w:val="1A1A1A"/>
                <w:sz w:val="19"/>
                <w:szCs w:val="19"/>
              </w:rPr>
              <w:t xml:space="preserve">—</w:t>
            </w:r>
          </w:p>
        </w:tc>
        <w:tc>
          <w:tcPr>
            <w:tcW w:type="dxa" w:w="2621"/>
            <w:shd w:fill="F7F6F3" w:val="clear"/>
            <w:tcMar>
              <w:top w:type="dxa" w:w="90"/>
              <w:left w:type="dxa" w:w="120"/>
              <w:bottom w:type="dxa" w:w="90"/>
              <w:right w:type="dxa" w:w="120"/>
            </w:tcMar>
            <w:vAlign w:val="center"/>
          </w:tcPr>
          <w:p>
            <w:pPr>
              <w:spacing w:after="0" w:line="258"/>
            </w:pPr>
            <w:r>
              <w:rPr>
                <w:color w:val="1A1A1A"/>
                <w:sz w:val="19"/>
                <w:szCs w:val="19"/>
              </w:rPr>
              <w:t xml:space="preserve">Disabled</w:t>
            </w:r>
          </w:p>
        </w:tc>
      </w:tr>
      <w:tr>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checkov-inspector</w:t>
            </w:r>
          </w:p>
        </w:tc>
        <w:tc>
          <w:tcPr>
            <w:tcW w:type="dxa" w:w="1685"/>
            <w:shd w:fill="FFFFFF" w:val="clear"/>
            <w:tcMar>
              <w:top w:type="dxa" w:w="90"/>
              <w:left w:type="dxa" w:w="120"/>
              <w:bottom w:type="dxa" w:w="90"/>
              <w:right w:type="dxa" w:w="120"/>
            </w:tcMar>
            <w:vAlign w:val="center"/>
          </w:tcPr>
          <w:p>
            <w:pPr>
              <w:spacing w:after="0" w:line="258"/>
            </w:pPr>
            <w:r>
              <w:rPr>
                <w:color w:val="1A1A1A"/>
                <w:sz w:val="19"/>
                <w:szCs w:val="19"/>
              </w:rPr>
              <w:t xml:space="preserve">Shell</w:t>
            </w:r>
          </w:p>
        </w:tc>
        <w:tc>
          <w:tcPr>
            <w:tcW w:type="dxa" w:w="1872"/>
            <w:shd w:fill="FFFFFF" w:val="clear"/>
            <w:tcMar>
              <w:top w:type="dxa" w:w="90"/>
              <w:left w:type="dxa" w:w="120"/>
              <w:bottom w:type="dxa" w:w="90"/>
              <w:right w:type="dxa" w:w="120"/>
            </w:tcMar>
            <w:vAlign w:val="center"/>
          </w:tcPr>
          <w:p>
            <w:pPr>
              <w:spacing w:after="0" w:line="258"/>
            </w:pPr>
            <w:r>
              <w:rPr>
                <w:color w:val="1A1A1A"/>
                <w:sz w:val="19"/>
                <w:szCs w:val="19"/>
              </w:rPr>
              <w:t xml:space="preserve">1</w:t>
            </w:r>
          </w:p>
        </w:tc>
        <w:tc>
          <w:tcPr>
            <w:tcW w:type="dxa" w:w="2621"/>
            <w:shd w:fill="FFFFFF" w:val="clear"/>
            <w:tcMar>
              <w:top w:type="dxa" w:w="90"/>
              <w:left w:type="dxa" w:w="120"/>
              <w:bottom w:type="dxa" w:w="90"/>
              <w:right w:type="dxa" w:w="120"/>
            </w:tcMar>
            <w:vAlign w:val="center"/>
          </w:tcPr>
          <w:p>
            <w:pPr>
              <w:spacing w:after="0" w:line="258"/>
            </w:pPr>
            <w:r>
              <w:rPr>
                <w:color w:val="1A1A1A"/>
                <w:sz w:val="19"/>
                <w:szCs w:val="19"/>
              </w:rPr>
              <w:t xml:space="preserve">Disabled</w:t>
            </w:r>
          </w:p>
        </w:tc>
      </w:tr>
    </w:tbl>
    <w:p>
      <w:pPr>
        <w:spacing w:after="80"/>
      </w:pPr>
    </w:p>
    <w:tbl>
      <w:tblPr>
        <w:tblW w:type="dxa" w:w="9360"/>
        <w:tblBorders>
          <w:top w:val="none"/>
          <w:left w:val="single" w:color="A8802C" w:sz="18"/>
          <w:bottom w:val="none"/>
          <w:right w:val="none"/>
          <w:insideH w:val="none"/>
          <w:insideV w:val="none"/>
        </w:tblBorders>
      </w:tblPr>
      <w:tblGrid>
        <w:gridCol w:w="9360"/>
      </w:tblGrid>
      <w:tr>
        <w:tc>
          <w:tcPr>
            <w:tcW w:type="dxa" w:w="9360"/>
            <w:shd w:fill="F2EEE6" w:val="clear"/>
            <w:tcMar>
              <w:top w:type="dxa" w:w="150"/>
              <w:left w:type="dxa" w:w="190"/>
              <w:bottom w:type="dxa" w:w="150"/>
              <w:right w:type="dxa" w:w="190"/>
            </w:tcMar>
          </w:tcPr>
          <w:p>
            <w:pPr>
              <w:spacing w:after="70"/>
            </w:pPr>
            <w:r>
              <w:rPr>
                <w:b/>
                <w:bCs/>
                <w:color w:val="A8802C"/>
                <w:sz w:val="20"/>
                <w:szCs w:val="20"/>
              </w:rPr>
              <w:t xml:space="preserve">External connectors ship disabled, with no script root</w:t>
            </w:r>
          </w:p>
          <w:p>
            <w:pPr>
              <w:spacing w:after="0" w:line="268"/>
            </w:pPr>
            <w:r>
              <w:rPr>
                <w:sz w:val="20"/>
                <w:szCs w:val="20"/>
              </w:rPr>
              <w:t xml:space="preserve">Enabling a connector implies provisioning credentials and permitting outbound network egress from the site. That is a decision for the site owner, made deliberately, not a default inherited from an installer.</w:t>
            </w:r>
          </w:p>
        </w:tc>
      </w:tr>
    </w:tbl>
    <w:p>
      <w:pPr>
        <w:pStyle w:val="Heading2"/>
        <w:spacing w:after="140" w:before="320"/>
      </w:pPr>
      <w:r>
        <w:rPr>
          <w:b/>
          <w:bCs/>
          <w:color w:val="12314F"/>
          <w:sz w:val="26"/>
          <w:szCs w:val="26"/>
        </w:rPr>
        <w:t xml:space="preserve">5.3  The internal connector</w:t>
      </w:r>
    </w:p>
    <w:p>
      <w:pPr>
        <w:spacing w:after="140" w:line="276"/>
      </w:pPr>
      <w:r>
        <w:rPr>
          <w:color w:val="1A1A1A"/>
          <w:sz w:val="21"/>
          <w:szCs w:val="21"/>
        </w:rPr>
        <w:t xml:space="preserve">Eleven Python handlers collect from the site itself. They are the reason the application is useful before any cloud onboarding work begins.</w:t>
      </w:r>
    </w:p>
    <w:tbl>
      <w:tblPr>
        <w:tblW w:type="dxa" w:w="9360"/>
        <w:tblBorders>
          <w:top w:val="single" w:color="C9D0D6" w:sz="4"/>
          <w:left w:val="none"/>
          <w:bottom w:val="single" w:color="C9D0D6" w:sz="4"/>
          <w:right w:val="none"/>
          <w:insideH w:val="single" w:color="DDE2E6" w:sz="2"/>
          <w:insideV w:val="none"/>
        </w:tblBorders>
      </w:tblPr>
      <w:tblGrid>
        <w:gridCol w:w="2808"/>
        <w:gridCol w:w="6552"/>
      </w:tblGrid>
      <w:tr>
        <w:trPr>
          <w:tblHeader/>
        </w:trPr>
        <w:tc>
          <w:tcPr>
            <w:tcW w:type="dxa" w:w="2808"/>
            <w:shd w:fill="12314F" w:val="clear"/>
            <w:tcMar>
              <w:top w:type="dxa" w:w="90"/>
              <w:left w:type="dxa" w:w="120"/>
              <w:bottom w:type="dxa" w:w="90"/>
              <w:right w:type="dxa" w:w="120"/>
            </w:tcMar>
            <w:vAlign w:val="center"/>
          </w:tcPr>
          <w:p>
            <w:pPr>
              <w:spacing w:after="0" w:line="258"/>
            </w:pPr>
            <w:r>
              <w:rPr>
                <w:b/>
                <w:bCs/>
                <w:color w:val="FFFFFF"/>
                <w:sz w:val="18"/>
                <w:szCs w:val="18"/>
              </w:rPr>
              <w:t xml:space="preserve">Fetcher</w:t>
            </w:r>
          </w:p>
        </w:tc>
        <w:tc>
          <w:tcPr>
            <w:tcW w:type="dxa" w:w="6552"/>
            <w:shd w:fill="12314F" w:val="clear"/>
            <w:tcMar>
              <w:top w:type="dxa" w:w="90"/>
              <w:left w:type="dxa" w:w="120"/>
              <w:bottom w:type="dxa" w:w="90"/>
              <w:right w:type="dxa" w:w="120"/>
            </w:tcMar>
            <w:vAlign w:val="center"/>
          </w:tcPr>
          <w:p>
            <w:pPr>
              <w:spacing w:after="0" w:line="258"/>
            </w:pPr>
            <w:r>
              <w:rPr>
                <w:b/>
                <w:bCs/>
                <w:color w:val="FFFFFF"/>
                <w:sz w:val="18"/>
                <w:szCs w:val="18"/>
              </w:rPr>
              <w:t xml:space="preserve">Collects</w:t>
            </w:r>
          </w:p>
        </w:tc>
      </w:tr>
      <w:tr>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EVD-ERP-2FA</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Two-factor authentication enforcement and per-user enrolment</w:t>
            </w:r>
          </w:p>
        </w:tc>
      </w:tr>
      <w:tr>
        <w:tc>
          <w:tcPr>
            <w:tcW w:type="dxa" w:w="2808"/>
            <w:shd w:fill="F7F6F3" w:val="clear"/>
            <w:tcMar>
              <w:top w:type="dxa" w:w="90"/>
              <w:left w:type="dxa" w:w="120"/>
              <w:bottom w:type="dxa" w:w="90"/>
              <w:right w:type="dxa" w:w="120"/>
            </w:tcMar>
            <w:vAlign w:val="center"/>
          </w:tcPr>
          <w:p>
            <w:pPr>
              <w:spacing w:after="0" w:line="258"/>
            </w:pPr>
            <w:r>
              <w:rPr>
                <w:color w:val="1A1A1A"/>
                <w:sz w:val="19"/>
                <w:szCs w:val="19"/>
              </w:rPr>
              <w:t xml:space="preserve">EVD-ERP-PRIV</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Users holding System Manager and other privileged roles</w:t>
            </w:r>
          </w:p>
        </w:tc>
      </w:tr>
      <w:tr>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EVD-ERP-LEAVER</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Disabled users still holding role assignments</w:t>
            </w:r>
          </w:p>
        </w:tc>
      </w:tr>
      <w:tr>
        <w:tc>
          <w:tcPr>
            <w:tcW w:type="dxa" w:w="2808"/>
            <w:shd w:fill="F7F6F3" w:val="clear"/>
            <w:tcMar>
              <w:top w:type="dxa" w:w="90"/>
              <w:left w:type="dxa" w:w="120"/>
              <w:bottom w:type="dxa" w:w="90"/>
              <w:right w:type="dxa" w:w="120"/>
            </w:tcMar>
            <w:vAlign w:val="center"/>
          </w:tcPr>
          <w:p>
            <w:pPr>
              <w:spacing w:after="0" w:line="258"/>
            </w:pPr>
            <w:r>
              <w:rPr>
                <w:color w:val="1A1A1A"/>
                <w:sz w:val="19"/>
                <w:szCs w:val="19"/>
              </w:rPr>
              <w:t xml:space="preserve">EVD-ERP-PWPOLICY</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Password policy strength settings in force</w:t>
            </w:r>
          </w:p>
        </w:tc>
      </w:tr>
      <w:tr>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EVD-ERP-AUDITLOG</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Audit logging and document versioning configuration</w:t>
            </w:r>
          </w:p>
        </w:tc>
      </w:tr>
      <w:tr>
        <w:tc>
          <w:tcPr>
            <w:tcW w:type="dxa" w:w="2808"/>
            <w:shd w:fill="F7F6F3" w:val="clear"/>
            <w:tcMar>
              <w:top w:type="dxa" w:w="90"/>
              <w:left w:type="dxa" w:w="120"/>
              <w:bottom w:type="dxa" w:w="90"/>
              <w:right w:type="dxa" w:w="120"/>
            </w:tcMar>
            <w:vAlign w:val="center"/>
          </w:tcPr>
          <w:p>
            <w:pPr>
              <w:spacing w:after="0" w:line="258"/>
            </w:pPr>
            <w:r>
              <w:rPr>
                <w:color w:val="1A1A1A"/>
                <w:sz w:val="19"/>
                <w:szCs w:val="19"/>
              </w:rPr>
              <w:t xml:space="preserve">EVD-ERP-FAILEDLOGIN</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Failed login volume and lockout thresholds</w:t>
            </w:r>
          </w:p>
        </w:tc>
      </w:tr>
      <w:tr>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EVD-ERP-BACKUP</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Most recent backup and its age</w:t>
            </w:r>
          </w:p>
        </w:tc>
      </w:tr>
      <w:tr>
        <w:tc>
          <w:tcPr>
            <w:tcW w:type="dxa" w:w="2808"/>
            <w:shd w:fill="F7F6F3" w:val="clear"/>
            <w:tcMar>
              <w:top w:type="dxa" w:w="90"/>
              <w:left w:type="dxa" w:w="120"/>
              <w:bottom w:type="dxa" w:w="90"/>
              <w:right w:type="dxa" w:w="120"/>
            </w:tcMar>
            <w:vAlign w:val="center"/>
          </w:tcPr>
          <w:p>
            <w:pPr>
              <w:spacing w:after="0" w:line="258"/>
            </w:pPr>
            <w:r>
              <w:rPr>
                <w:color w:val="1A1A1A"/>
                <w:sz w:val="19"/>
                <w:szCs w:val="19"/>
              </w:rPr>
              <w:t xml:space="preserve">EVD-ERP-APPS</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Installed app inventory with versions</w:t>
            </w:r>
          </w:p>
        </w:tc>
      </w:tr>
      <w:tr>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EVD-ERP-EXCEPTIONS</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Exceptions past expiry still marked active</w:t>
            </w:r>
          </w:p>
        </w:tc>
      </w:tr>
      <w:tr>
        <w:tc>
          <w:tcPr>
            <w:tcW w:type="dxa" w:w="2808"/>
            <w:shd w:fill="F7F6F3" w:val="clear"/>
            <w:tcMar>
              <w:top w:type="dxa" w:w="90"/>
              <w:left w:type="dxa" w:w="120"/>
              <w:bottom w:type="dxa" w:w="90"/>
              <w:right w:type="dxa" w:w="120"/>
            </w:tcMar>
            <w:vAlign w:val="center"/>
          </w:tcPr>
          <w:p>
            <w:pPr>
              <w:spacing w:after="0" w:line="258"/>
            </w:pPr>
            <w:r>
              <w:rPr>
                <w:color w:val="1A1A1A"/>
                <w:sz w:val="19"/>
                <w:szCs w:val="19"/>
              </w:rPr>
              <w:t xml:space="preserve">EVD-ERP-POLICYREVIEW</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Policies past their review date</w:t>
            </w:r>
          </w:p>
        </w:tc>
      </w:tr>
      <w:tr>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EVD-ERP-VENDORREV</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Vendors past their tier-driven review cadence</w:t>
            </w:r>
          </w:p>
        </w:tc>
      </w:tr>
    </w:tbl>
    <w:p>
      <w:pPr>
        <w:spacing w:after="140" w:line="276"/>
      </w:pPr>
      <w:r>
        <w:rPr>
          <w:color w:val="1A1A1A"/>
          <w:sz w:val="21"/>
          <w:szCs w:val="21"/>
        </w:rPr>
        <w:t xml:space="preserve">The final three are worth noting: the application collects evidence about its own hygiene. An expired exception still treated as live, or a policy two years past review, is a finding like any other.</w:t>
      </w:r>
    </w:p>
    <w:p>
      <w:pPr>
        <w:pStyle w:val="Heading2"/>
        <w:spacing w:after="140" w:before="320"/>
      </w:pPr>
      <w:r>
        <w:rPr>
          <w:b/>
          <w:bCs/>
          <w:color w:val="12314F"/>
          <w:sz w:val="26"/>
          <w:szCs w:val="26"/>
        </w:rPr>
        <w:t xml:space="preserve">5.4  Preflight</w:t>
      </w:r>
    </w:p>
    <w:p>
      <w:pPr>
        <w:spacing w:after="140" w:line="276"/>
      </w:pPr>
      <w:r>
        <w:rPr>
          <w:color w:val="1A1A1A"/>
          <w:sz w:val="21"/>
          <w:szCs w:val="21"/>
        </w:rPr>
        <w:t xml:space="preserve">Before the first fetcher in a set executes, preflight verifies the connector's declared binaries are on PATH, its required environment variables are set, and its script root exists and is readable. A missing AWS CLI produces one clear exit-code-5 message instead of thirty opaque failures thirty seconds apart.</w:t>
      </w:r>
    </w:p>
    <w:p>
      <w:pPr>
        <w:pStyle w:val="Heading2"/>
        <w:spacing w:after="140" w:before="320"/>
      </w:pPr>
      <w:r>
        <w:rPr>
          <w:b/>
          <w:bCs/>
          <w:color w:val="12314F"/>
          <w:sz w:val="26"/>
          <w:szCs w:val="26"/>
        </w:rPr>
        <w:t xml:space="preserve">5.5  Exit codes</w:t>
      </w:r>
    </w:p>
    <w:tbl>
      <w:tblPr>
        <w:tblW w:type="dxa" w:w="9360"/>
        <w:tblBorders>
          <w:top w:val="single" w:color="C9D0D6" w:sz="4"/>
          <w:left w:val="none"/>
          <w:bottom w:val="single" w:color="C9D0D6" w:sz="4"/>
          <w:right w:val="none"/>
          <w:insideH w:val="single" w:color="DDE2E6" w:sz="2"/>
          <w:insideV w:val="none"/>
        </w:tblBorders>
      </w:tblPr>
      <w:tblGrid>
        <w:gridCol w:w="842"/>
        <w:gridCol w:w="2527"/>
        <w:gridCol w:w="5991"/>
      </w:tblGrid>
      <w:tr>
        <w:trPr>
          <w:tblHeader/>
        </w:trPr>
        <w:tc>
          <w:tcPr>
            <w:tcW w:type="dxa" w:w="842"/>
            <w:shd w:fill="12314F" w:val="clear"/>
            <w:tcMar>
              <w:top w:type="dxa" w:w="90"/>
              <w:left w:type="dxa" w:w="120"/>
              <w:bottom w:type="dxa" w:w="90"/>
              <w:right w:type="dxa" w:w="120"/>
            </w:tcMar>
            <w:vAlign w:val="center"/>
          </w:tcPr>
          <w:p>
            <w:pPr>
              <w:spacing w:after="0" w:line="258"/>
            </w:pPr>
            <w:r>
              <w:rPr>
                <w:b/>
                <w:bCs/>
                <w:color w:val="FFFFFF"/>
                <w:sz w:val="18"/>
                <w:szCs w:val="18"/>
              </w:rPr>
              <w:t xml:space="preserve">Code</w:t>
            </w:r>
          </w:p>
        </w:tc>
        <w:tc>
          <w:tcPr>
            <w:tcW w:type="dxa" w:w="2527"/>
            <w:shd w:fill="12314F" w:val="clear"/>
            <w:tcMar>
              <w:top w:type="dxa" w:w="90"/>
              <w:left w:type="dxa" w:w="120"/>
              <w:bottom w:type="dxa" w:w="90"/>
              <w:right w:type="dxa" w:w="120"/>
            </w:tcMar>
            <w:vAlign w:val="center"/>
          </w:tcPr>
          <w:p>
            <w:pPr>
              <w:spacing w:after="0" w:line="258"/>
            </w:pPr>
            <w:r>
              <w:rPr>
                <w:b/>
                <w:bCs/>
                <w:color w:val="FFFFFF"/>
                <w:sz w:val="18"/>
                <w:szCs w:val="18"/>
              </w:rPr>
              <w:t xml:space="preserve">Meaning</w:t>
            </w:r>
          </w:p>
        </w:tc>
        <w:tc>
          <w:tcPr>
            <w:tcW w:type="dxa" w:w="5991"/>
            <w:shd w:fill="12314F" w:val="clear"/>
            <w:tcMar>
              <w:top w:type="dxa" w:w="90"/>
              <w:left w:type="dxa" w:w="120"/>
              <w:bottom w:type="dxa" w:w="90"/>
              <w:right w:type="dxa" w:w="120"/>
            </w:tcMar>
            <w:vAlign w:val="center"/>
          </w:tcPr>
          <w:p>
            <w:pPr>
              <w:spacing w:after="0" w:line="258"/>
            </w:pPr>
            <w:r>
              <w:rPr>
                <w:b/>
                <w:bCs/>
                <w:color w:val="FFFFFF"/>
                <w:sz w:val="18"/>
                <w:szCs w:val="18"/>
              </w:rPr>
              <w:t xml:space="preserve">Engine behaviour</w:t>
            </w:r>
          </w:p>
        </w:tc>
      </w:tr>
      <w:tr>
        <w:tc>
          <w:tcPr>
            <w:tcW w:type="dxa" w:w="842"/>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0</w:t>
            </w:r>
          </w:p>
        </w:tc>
        <w:tc>
          <w:tcPr>
            <w:tcW w:type="dxa" w:w="2527"/>
            <w:shd w:fill="FFFFFF" w:val="clear"/>
            <w:tcMar>
              <w:top w:type="dxa" w:w="90"/>
              <w:left w:type="dxa" w:w="120"/>
              <w:bottom w:type="dxa" w:w="90"/>
              <w:right w:type="dxa" w:w="120"/>
            </w:tcMar>
            <w:vAlign w:val="center"/>
          </w:tcPr>
          <w:p>
            <w:pPr>
              <w:spacing w:after="0" w:line="258"/>
            </w:pPr>
            <w:r>
              <w:rPr>
                <w:color w:val="1A1A1A"/>
                <w:sz w:val="19"/>
                <w:szCs w:val="19"/>
              </w:rPr>
              <w:t xml:space="preserve">Success</w:t>
            </w:r>
          </w:p>
        </w:tc>
        <w:tc>
          <w:tcPr>
            <w:tcW w:type="dxa" w:w="5991"/>
            <w:shd w:fill="FFFFFF" w:val="clear"/>
            <w:tcMar>
              <w:top w:type="dxa" w:w="90"/>
              <w:left w:type="dxa" w:w="120"/>
              <w:bottom w:type="dxa" w:w="90"/>
              <w:right w:type="dxa" w:w="120"/>
            </w:tcMar>
            <w:vAlign w:val="center"/>
          </w:tcPr>
          <w:p>
            <w:pPr>
              <w:spacing w:after="0" w:line="258"/>
            </w:pPr>
            <w:r>
              <w:rPr>
                <w:color w:val="1A1A1A"/>
                <w:sz w:val="19"/>
                <w:szCs w:val="19"/>
              </w:rPr>
              <w:t xml:space="preserve">Artifact recorded, rules evaluated, findings emitted, connector last-success timestamp updated</w:t>
            </w:r>
          </w:p>
        </w:tc>
      </w:tr>
      <w:tr>
        <w:tc>
          <w:tcPr>
            <w:tcW w:type="dxa" w:w="842"/>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1</w:t>
            </w:r>
          </w:p>
        </w:tc>
        <w:tc>
          <w:tcPr>
            <w:tcW w:type="dxa" w:w="2527"/>
            <w:shd w:fill="F7F6F3" w:val="clear"/>
            <w:tcMar>
              <w:top w:type="dxa" w:w="90"/>
              <w:left w:type="dxa" w:w="120"/>
              <w:bottom w:type="dxa" w:w="90"/>
              <w:right w:type="dxa" w:w="120"/>
            </w:tcMar>
            <w:vAlign w:val="center"/>
          </w:tcPr>
          <w:p>
            <w:pPr>
              <w:spacing w:after="0" w:line="258"/>
            </w:pPr>
            <w:r>
              <w:rPr>
                <w:color w:val="1A1A1A"/>
                <w:sz w:val="19"/>
                <w:szCs w:val="19"/>
              </w:rPr>
              <w:t xml:space="preserve">Generic failure</w:t>
            </w:r>
          </w:p>
        </w:tc>
        <w:tc>
          <w:tcPr>
            <w:tcW w:type="dxa" w:w="5991"/>
            <w:shd w:fill="F7F6F3" w:val="clear"/>
            <w:tcMar>
              <w:top w:type="dxa" w:w="90"/>
              <w:left w:type="dxa" w:w="120"/>
              <w:bottom w:type="dxa" w:w="90"/>
              <w:right w:type="dxa" w:w="120"/>
            </w:tcMar>
            <w:vAlign w:val="center"/>
          </w:tcPr>
          <w:p>
            <w:pPr>
              <w:spacing w:after="0" w:line="258"/>
            </w:pPr>
            <w:r>
              <w:rPr>
                <w:color w:val="1A1A1A"/>
                <w:sz w:val="19"/>
                <w:szCs w:val="19"/>
              </w:rPr>
              <w:t xml:space="preserve">Run marked Failed, stderr captured on the run record</w:t>
            </w:r>
          </w:p>
        </w:tc>
      </w:tr>
      <w:tr>
        <w:tc>
          <w:tcPr>
            <w:tcW w:type="dxa" w:w="842"/>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2</w:t>
            </w:r>
          </w:p>
        </w:tc>
        <w:tc>
          <w:tcPr>
            <w:tcW w:type="dxa" w:w="2527"/>
            <w:shd w:fill="FFFFFF" w:val="clear"/>
            <w:tcMar>
              <w:top w:type="dxa" w:w="90"/>
              <w:left w:type="dxa" w:w="120"/>
              <w:bottom w:type="dxa" w:w="90"/>
              <w:right w:type="dxa" w:w="120"/>
            </w:tcMar>
            <w:vAlign w:val="center"/>
          </w:tcPr>
          <w:p>
            <w:pPr>
              <w:spacing w:after="0" w:line="258"/>
            </w:pPr>
            <w:r>
              <w:rPr>
                <w:color w:val="1A1A1A"/>
                <w:sz w:val="19"/>
                <w:szCs w:val="19"/>
              </w:rPr>
              <w:t xml:space="preserve">Authentication failure</w:t>
            </w:r>
          </w:p>
        </w:tc>
        <w:tc>
          <w:tcPr>
            <w:tcW w:type="dxa" w:w="5991"/>
            <w:shd w:fill="FFFFFF" w:val="clear"/>
            <w:tcMar>
              <w:top w:type="dxa" w:w="90"/>
              <w:left w:type="dxa" w:w="120"/>
              <w:bottom w:type="dxa" w:w="90"/>
              <w:right w:type="dxa" w:w="120"/>
            </w:tcMar>
            <w:vAlign w:val="center"/>
          </w:tcPr>
          <w:p>
            <w:pPr>
              <w:spacing w:after="0" w:line="258"/>
            </w:pPr>
            <w:r>
              <w:rPr>
                <w:color w:val="1A1A1A"/>
                <w:sz w:val="19"/>
                <w:szCs w:val="19"/>
              </w:rPr>
              <w:t xml:space="preserve">Run marked Failed, no findings emitted, connector owner notified</w:t>
            </w:r>
          </w:p>
        </w:tc>
      </w:tr>
      <w:tr>
        <w:tc>
          <w:tcPr>
            <w:tcW w:type="dxa" w:w="842"/>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3</w:t>
            </w:r>
          </w:p>
        </w:tc>
        <w:tc>
          <w:tcPr>
            <w:tcW w:type="dxa" w:w="2527"/>
            <w:shd w:fill="F7F6F3" w:val="clear"/>
            <w:tcMar>
              <w:top w:type="dxa" w:w="90"/>
              <w:left w:type="dxa" w:w="120"/>
              <w:bottom w:type="dxa" w:w="90"/>
              <w:right w:type="dxa" w:w="120"/>
            </w:tcMar>
            <w:vAlign w:val="center"/>
          </w:tcPr>
          <w:p>
            <w:pPr>
              <w:spacing w:after="0" w:line="258"/>
            </w:pPr>
            <w:r>
              <w:rPr>
                <w:color w:val="1A1A1A"/>
                <w:sz w:val="19"/>
                <w:szCs w:val="19"/>
              </w:rPr>
              <w:t xml:space="preserve">Rate limited</w:t>
            </w:r>
          </w:p>
        </w:tc>
        <w:tc>
          <w:tcPr>
            <w:tcW w:type="dxa" w:w="5991"/>
            <w:shd w:fill="F7F6F3" w:val="clear"/>
            <w:tcMar>
              <w:top w:type="dxa" w:w="90"/>
              <w:left w:type="dxa" w:w="120"/>
              <w:bottom w:type="dxa" w:w="90"/>
              <w:right w:type="dxa" w:w="120"/>
            </w:tcMar>
            <w:vAlign w:val="center"/>
          </w:tcPr>
          <w:p>
            <w:pPr>
              <w:spacing w:after="0" w:line="258"/>
            </w:pPr>
            <w:r>
              <w:rPr>
                <w:color w:val="1A1A1A"/>
                <w:sz w:val="19"/>
                <w:szCs w:val="19"/>
              </w:rPr>
              <w:t xml:space="preserve">Run marked Partial, retried at the next scheduled interval</w:t>
            </w:r>
          </w:p>
        </w:tc>
      </w:tr>
      <w:tr>
        <w:tc>
          <w:tcPr>
            <w:tcW w:type="dxa" w:w="842"/>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4</w:t>
            </w:r>
          </w:p>
        </w:tc>
        <w:tc>
          <w:tcPr>
            <w:tcW w:type="dxa" w:w="2527"/>
            <w:shd w:fill="FFFFFF" w:val="clear"/>
            <w:tcMar>
              <w:top w:type="dxa" w:w="90"/>
              <w:left w:type="dxa" w:w="120"/>
              <w:bottom w:type="dxa" w:w="90"/>
              <w:right w:type="dxa" w:w="120"/>
            </w:tcMar>
            <w:vAlign w:val="center"/>
          </w:tcPr>
          <w:p>
            <w:pPr>
              <w:spacing w:after="0" w:line="258"/>
            </w:pPr>
            <w:r>
              <w:rPr>
                <w:color w:val="1A1A1A"/>
                <w:sz w:val="19"/>
                <w:szCs w:val="19"/>
              </w:rPr>
              <w:t xml:space="preserve">Partial result</w:t>
            </w:r>
          </w:p>
        </w:tc>
        <w:tc>
          <w:tcPr>
            <w:tcW w:type="dxa" w:w="5991"/>
            <w:shd w:fill="FFFFFF" w:val="clear"/>
            <w:tcMar>
              <w:top w:type="dxa" w:w="90"/>
              <w:left w:type="dxa" w:w="120"/>
              <w:bottom w:type="dxa" w:w="90"/>
              <w:right w:type="dxa" w:w="120"/>
            </w:tcMar>
            <w:vAlign w:val="center"/>
          </w:tcPr>
          <w:p>
            <w:pPr>
              <w:spacing w:after="0" w:line="258"/>
            </w:pPr>
            <w:r>
              <w:rPr>
                <w:color w:val="1A1A1A"/>
                <w:sz w:val="19"/>
                <w:szCs w:val="19"/>
              </w:rPr>
              <w:t xml:space="preserve">Findings emitted for what was collected, run flagged Partial</w:t>
            </w:r>
          </w:p>
        </w:tc>
      </w:tr>
      <w:tr>
        <w:tc>
          <w:tcPr>
            <w:tcW w:type="dxa" w:w="842"/>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5</w:t>
            </w:r>
          </w:p>
        </w:tc>
        <w:tc>
          <w:tcPr>
            <w:tcW w:type="dxa" w:w="2527"/>
            <w:shd w:fill="F7F6F3" w:val="clear"/>
            <w:tcMar>
              <w:top w:type="dxa" w:w="90"/>
              <w:left w:type="dxa" w:w="120"/>
              <w:bottom w:type="dxa" w:w="90"/>
              <w:right w:type="dxa" w:w="120"/>
            </w:tcMar>
            <w:vAlign w:val="center"/>
          </w:tcPr>
          <w:p>
            <w:pPr>
              <w:spacing w:after="0" w:line="258"/>
            </w:pPr>
            <w:r>
              <w:rPr>
                <w:color w:val="1A1A1A"/>
                <w:sz w:val="19"/>
                <w:szCs w:val="19"/>
              </w:rPr>
              <w:t xml:space="preserve">Dependency missing</w:t>
            </w:r>
          </w:p>
        </w:tc>
        <w:tc>
          <w:tcPr>
            <w:tcW w:type="dxa" w:w="5991"/>
            <w:shd w:fill="F7F6F3" w:val="clear"/>
            <w:tcMar>
              <w:top w:type="dxa" w:w="90"/>
              <w:left w:type="dxa" w:w="120"/>
              <w:bottom w:type="dxa" w:w="90"/>
              <w:right w:type="dxa" w:w="120"/>
            </w:tcMar>
            <w:vAlign w:val="center"/>
          </w:tcPr>
          <w:p>
            <w:pPr>
              <w:spacing w:after="0" w:line="258"/>
            </w:pPr>
            <w:r>
              <w:rPr>
                <w:color w:val="1A1A1A"/>
                <w:sz w:val="19"/>
                <w:szCs w:val="19"/>
              </w:rPr>
              <w:t xml:space="preserve">Halted at preflight, nothing executed</w:t>
            </w:r>
          </w:p>
        </w:tc>
      </w:tr>
    </w:tbl>
    <w:p>
      <w:pPr>
        <w:spacing w:after="140" w:line="276"/>
      </w:pPr>
      <w:r>
        <w:rPr>
          <w:color w:val="1A1A1A"/>
          <w:sz w:val="21"/>
          <w:szCs w:val="21"/>
        </w:rPr>
        <w:t xml:space="preserve">A failed run never emits findings. This is not a detail — silently emitting a pass because a collection script died before it could find anything is precisely the failure mode that makes automated compliance tooling untrustworthy.</w:t>
      </w:r>
    </w:p>
    <w:p>
      <w:pPr>
        <w:pStyle w:val="Heading2"/>
        <w:spacing w:after="140" w:before="320"/>
      </w:pPr>
      <w:r>
        <w:rPr>
          <w:b/>
          <w:bCs/>
          <w:color w:val="12314F"/>
          <w:sz w:val="26"/>
          <w:szCs w:val="26"/>
        </w:rPr>
        <w:t xml:space="preserve">5.6  Declarative query fetchers</w:t>
      </w:r>
    </w:p>
    <w:p>
      <w:pPr>
        <w:spacing w:after="140" w:line="276"/>
      </w:pPr>
      <w:r>
        <w:rPr>
          <w:color w:val="1A1A1A"/>
          <w:sz w:val="21"/>
          <w:szCs w:val="21"/>
        </w:rPr>
        <w:t xml:space="preserve">A fetcher can run a query instead of a script. Set Handler Mode to Query and give it a source DocType, a Frappe filter object, and a pass condition. Nothing is deployed and no Server Script is created.</w:t>
      </w:r>
    </w:p>
    <w:tbl>
      <w:tblPr>
        <w:tblW w:type="dxa" w:w="9360"/>
        <w:tblBorders>
          <w:top w:val="single" w:color="C9D0D6" w:sz="4"/>
          <w:left w:val="none"/>
          <w:bottom w:val="single" w:color="C9D0D6" w:sz="4"/>
          <w:right w:val="none"/>
          <w:insideH w:val="single" w:color="DDE2E6" w:sz="2"/>
          <w:insideV w:val="none"/>
        </w:tblBorders>
      </w:tblPr>
      <w:tblGrid>
        <w:gridCol w:w="2808"/>
        <w:gridCol w:w="6552"/>
      </w:tblGrid>
      <w:tr>
        <w:trPr>
          <w:tblHeader/>
        </w:trPr>
        <w:tc>
          <w:tcPr>
            <w:tcW w:type="dxa" w:w="2808"/>
            <w:shd w:fill="12314F" w:val="clear"/>
            <w:tcMar>
              <w:top w:type="dxa" w:w="90"/>
              <w:left w:type="dxa" w:w="120"/>
              <w:bottom w:type="dxa" w:w="90"/>
              <w:right w:type="dxa" w:w="120"/>
            </w:tcMar>
            <w:vAlign w:val="center"/>
          </w:tcPr>
          <w:p>
            <w:pPr>
              <w:spacing w:after="0" w:line="258"/>
            </w:pPr>
            <w:r>
              <w:rPr>
                <w:b/>
                <w:bCs/>
                <w:color w:val="FFFFFF"/>
                <w:sz w:val="18"/>
                <w:szCs w:val="18"/>
              </w:rPr>
              <w:t xml:space="preserve">Condition</w:t>
            </w:r>
          </w:p>
        </w:tc>
        <w:tc>
          <w:tcPr>
            <w:tcW w:type="dxa" w:w="6552"/>
            <w:shd w:fill="12314F" w:val="clear"/>
            <w:tcMar>
              <w:top w:type="dxa" w:w="90"/>
              <w:left w:type="dxa" w:w="120"/>
              <w:bottom w:type="dxa" w:w="90"/>
              <w:right w:type="dxa" w:w="120"/>
            </w:tcMar>
            <w:vAlign w:val="center"/>
          </w:tcPr>
          <w:p>
            <w:pPr>
              <w:spacing w:after="0" w:line="258"/>
            </w:pPr>
            <w:r>
              <w:rPr>
                <w:b/>
                <w:bCs/>
                <w:color w:val="FFFFFF"/>
                <w:sz w:val="18"/>
                <w:szCs w:val="18"/>
              </w:rPr>
              <w:t xml:space="preserve">Passes when</w:t>
            </w:r>
          </w:p>
        </w:tc>
      </w:tr>
      <w:tr>
        <w:tc>
          <w:tcPr>
            <w:tcW w:type="dxa" w:w="2808"/>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COUNT_EQUALS_ZERO</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Nothing matched the filters — the usual no-exceptions check</w:t>
            </w:r>
          </w:p>
        </w:tc>
      </w:tr>
      <w:tr>
        <w:tc>
          <w:tcPr>
            <w:tcW w:type="dxa" w:w="2808"/>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COUNT_LTE_THRESHOLD</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Match count is at or below the threshold</w:t>
            </w:r>
          </w:p>
        </w:tc>
      </w:tr>
      <w:tr>
        <w:tc>
          <w:tcPr>
            <w:tcW w:type="dxa" w:w="2808"/>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COUNT_GTE_THRESHOLD</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At least N records exist, for example approved policies</w:t>
            </w:r>
          </w:p>
        </w:tc>
      </w:tr>
      <w:tr>
        <w:tc>
          <w:tcPr>
            <w:tcW w:type="dxa" w:w="2808"/>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ALL_ROWS_FIELD_SET</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Every matched row has a value in the checked field</w:t>
            </w:r>
          </w:p>
        </w:tc>
      </w:tr>
      <w:tr>
        <w:tc>
          <w:tcPr>
            <w:tcW w:type="dxa" w:w="2808"/>
            <w:shd w:fill="FFFFFF"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ALL_ROWS_FIELD_EQUALS</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Every matched row equals the expected value</w:t>
            </w:r>
          </w:p>
        </w:tc>
      </w:tr>
      <w:tr>
        <w:tc>
          <w:tcPr>
            <w:tcW w:type="dxa" w:w="2808"/>
            <w:shd w:fill="F7F6F3" w:val="clear"/>
            <w:tcMar>
              <w:top w:type="dxa" w:w="90"/>
              <w:left w:type="dxa" w:w="120"/>
              <w:bottom w:type="dxa" w:w="90"/>
              <w:right w:type="dxa" w:w="120"/>
            </w:tcMar>
            <w:vAlign w:val="center"/>
          </w:tcPr>
          <w:p>
            <w:pPr>
              <w:spacing w:after="0" w:line="258"/>
            </w:pPr>
            <w:r>
              <w:rPr>
                <w:rFonts w:ascii="Consolas" w:cs="Consolas" w:eastAsia="Consolas" w:hAnsi="Consolas"/>
                <w:color w:val="1A1A1A"/>
                <w:sz w:val="17"/>
                <w:szCs w:val="17"/>
              </w:rPr>
              <w:t xml:space="preserve">NO_ROW_OLDER_THAN_DAYS</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No matched row is older than the tolerance</w:t>
            </w:r>
          </w:p>
        </w:tc>
      </w:tr>
    </w:tbl>
    <w:p>
      <w:pPr>
        <w:spacing w:after="140" w:line="276"/>
      </w:pPr>
      <w:r>
        <w:rPr>
          <w:color w:val="1A1A1A"/>
          <w:sz w:val="21"/>
          <w:szCs w:val="21"/>
        </w:rPr>
        <w:t xml:space="preserve">Filters accept the tokens "@today" and ["&lt;", "@days_ago:90"], so a freshness check does not need editing every day.</w:t>
      </w:r>
    </w:p>
    <w:p>
      <w:pPr>
        <w:spacing w:after="140" w:line="276"/>
      </w:pPr>
      <w:r>
        <w:rPr>
          <w:color w:val="1A1A1A"/>
          <w:sz w:val="21"/>
          <w:szCs w:val="21"/>
        </w:rPr>
        <w:t xml:space="preserve">Half of a compliance programme's evidence is already sitting in the ERP: leavers still holding roles, dormant privileged accounts, vendors processing personal data with no signed DPA, policies past review. Writing a Python handler for each is disproportionate work for what is really a query plus a threshold.</w:t>
      </w:r>
    </w:p>
    <w:p>
      <w:pPr>
        <w:pStyle w:val="Heading3"/>
        <w:spacing w:after="110" w:before="240"/>
      </w:pPr>
      <w:r>
        <w:rPr>
          <w:b/>
          <w:bCs/>
          <w:color w:val="1B6E7D"/>
          <w:sz w:val="22"/>
          <w:szCs w:val="22"/>
        </w:rPr>
        <w:t xml:space="preserve">Two guards worth knowing about</w:t>
      </w:r>
    </w:p>
    <w:p>
      <w:pPr>
        <w:spacing w:after="140" w:line="276"/>
      </w:pPr>
      <w:r>
        <w:rPr>
          <w:color w:val="1A1A1A"/>
          <w:sz w:val="21"/>
          <w:szCs w:val="21"/>
        </w:rPr>
        <w:t xml:space="preserve">Field names in filters and conditions are validated against the target DocType's own metadata at save time rather than at run time. A typo fails in front of the person writing it, not at two in the morning inside a scheduled run where it would surface as an unexplained collection fault.</w:t>
      </w:r>
    </w:p>
    <w:p>
      <w:pPr>
        <w:spacing w:after="140" w:line="276"/>
      </w:pPr>
      <w:r>
        <w:rPr>
          <w:color w:val="1A1A1A"/>
          <w:sz w:val="21"/>
          <w:szCs w:val="21"/>
        </w:rPr>
        <w:t xml:space="preserve">Fields of type Password, and fieldnames shaped like credentials — api_secret, token, private_key — are refused outright. Evidence artifacts are hashed, attached and retained under a retention policy, and a credential must never become a permanent audit record.</w:t>
      </w:r>
    </w:p>
    <w:p>
      <w:pPr>
        <w:spacing w:after="140" w:line="276"/>
      </w:pPr>
      <w:r>
        <w:rPr>
          <w:color w:val="1A1A1A"/>
          <w:sz w:val="21"/>
          <w:szCs w:val="21"/>
        </w:rPr>
        <w:t xml:space="preserve">Each failing row becomes a resource on the emitted finding, so the output is a task list rather than a status. "Twelve leavers still hold roles" names the twelve.</w:t>
      </w:r>
    </w:p>
    <w:p>
      <w:pPr>
        <w:spacing w:after="80"/>
      </w:pPr>
    </w:p>
    <w:tbl>
      <w:tblPr>
        <w:tblW w:type="dxa" w:w="9360"/>
        <w:tblBorders>
          <w:top w:val="none"/>
          <w:left w:val="single" w:color="8C3A34" w:sz="18"/>
          <w:bottom w:val="none"/>
          <w:right w:val="none"/>
          <w:insideH w:val="none"/>
          <w:insideV w:val="none"/>
        </w:tblBorders>
      </w:tblPr>
      <w:tblGrid>
        <w:gridCol w:w="9360"/>
      </w:tblGrid>
      <w:tr>
        <w:tc>
          <w:tcPr>
            <w:tcW w:type="dxa" w:w="9360"/>
            <w:shd w:fill="F2EEE6" w:val="clear"/>
            <w:tcMar>
              <w:top w:type="dxa" w:w="150"/>
              <w:left w:type="dxa" w:w="190"/>
              <w:bottom w:type="dxa" w:w="150"/>
              <w:right w:type="dxa" w:w="190"/>
            </w:tcMar>
          </w:tcPr>
          <w:p>
            <w:pPr>
              <w:spacing w:after="70"/>
            </w:pPr>
            <w:r>
              <w:rPr>
                <w:b/>
                <w:bCs/>
                <w:color w:val="8C3A34"/>
                <w:sz w:val="20"/>
                <w:szCs w:val="20"/>
              </w:rPr>
              <w:t xml:space="preserve">Adapted from alphax_grc, with the evaluated string removed</w:t>
            </w:r>
          </w:p>
          <w:p>
            <w:pPr>
              <w:spacing w:after="0" w:line="268"/>
            </w:pPr>
            <w:r>
              <w:rPr>
                <w:sz w:val="20"/>
                <w:szCs w:val="20"/>
              </w:rPr>
              <w:t xml:space="preserve">The GRC Evidence Rule DocType in alphax_grc stores its pass logic as free text — "IF match.group(1) == match.group(2) THEN PASS" — and evaluates it in Python. That turns anyone who can create a rule record into a holder of arbitrary code execution on the site. Here the condition is an enumerated Select and the engine dispatches on it.</w:t>
            </w:r>
          </w:p>
        </w:tc>
      </w:tr>
    </w:tbl>
    <w:p>
      <w:pPr>
        <w:pStyle w:val="Heading2"/>
        <w:spacing w:after="140" w:before="320"/>
      </w:pPr>
      <w:r>
        <w:rPr>
          <w:b/>
          <w:bCs/>
          <w:color w:val="12314F"/>
          <w:sz w:val="26"/>
          <w:szCs w:val="26"/>
        </w:rPr>
        <w:t xml:space="preserve">5.7  Validation rules</w:t>
      </w:r>
    </w:p>
    <w:p>
      <w:pPr>
        <w:spacing w:after="140" w:line="276"/>
      </w:pPr>
      <w:r>
        <w:rPr>
          <w:color w:val="1A1A1A"/>
          <w:sz w:val="21"/>
          <w:szCs w:val="21"/>
        </w:rPr>
        <w:t xml:space="preserve">A rule states what the collected output must show. Four rule types are available.</w:t>
      </w:r>
    </w:p>
    <w:tbl>
      <w:tblPr>
        <w:tblW w:type="dxa" w:w="9360"/>
        <w:tblBorders>
          <w:top w:val="single" w:color="C9D0D6" w:sz="4"/>
          <w:left w:val="none"/>
          <w:bottom w:val="single" w:color="C9D0D6" w:sz="4"/>
          <w:right w:val="none"/>
          <w:insideH w:val="single" w:color="DDE2E6" w:sz="2"/>
          <w:insideV w:val="none"/>
        </w:tblBorders>
      </w:tblPr>
      <w:tblGrid>
        <w:gridCol w:w="2434"/>
        <w:gridCol w:w="6926"/>
      </w:tblGrid>
      <w:tr>
        <w:trPr>
          <w:tblHeader/>
        </w:trPr>
        <w:tc>
          <w:tcPr>
            <w:tcW w:type="dxa" w:w="2434"/>
            <w:shd w:fill="12314F" w:val="clear"/>
            <w:tcMar>
              <w:top w:type="dxa" w:w="90"/>
              <w:left w:type="dxa" w:w="120"/>
              <w:bottom w:type="dxa" w:w="90"/>
              <w:right w:type="dxa" w:w="120"/>
            </w:tcMar>
            <w:vAlign w:val="center"/>
          </w:tcPr>
          <w:p>
            <w:pPr>
              <w:spacing w:after="0" w:line="258"/>
            </w:pPr>
            <w:r>
              <w:rPr>
                <w:b/>
                <w:bCs/>
                <w:color w:val="FFFFFF"/>
                <w:sz w:val="18"/>
                <w:szCs w:val="18"/>
              </w:rPr>
              <w:t xml:space="preserve">Rule type</w:t>
            </w:r>
          </w:p>
        </w:tc>
        <w:tc>
          <w:tcPr>
            <w:tcW w:type="dxa" w:w="6926"/>
            <w:shd w:fill="12314F" w:val="clear"/>
            <w:tcMar>
              <w:top w:type="dxa" w:w="90"/>
              <w:left w:type="dxa" w:w="120"/>
              <w:bottom w:type="dxa" w:w="90"/>
              <w:right w:type="dxa" w:w="120"/>
            </w:tcMar>
            <w:vAlign w:val="center"/>
          </w:tcPr>
          <w:p>
            <w:pPr>
              <w:spacing w:after="0" w:line="258"/>
            </w:pPr>
            <w:r>
              <w:rPr>
                <w:b/>
                <w:bCs/>
                <w:color w:val="FFFFFF"/>
                <w:sz w:val="18"/>
                <w:szCs w:val="18"/>
              </w:rPr>
              <w:t xml:space="preserve">Use</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Regex Capture</w:t>
            </w:r>
          </w:p>
        </w:tc>
        <w:tc>
          <w:tcPr>
            <w:tcW w:type="dxa" w:w="6926"/>
            <w:shd w:fill="FFFFFF" w:val="clear"/>
            <w:tcMar>
              <w:top w:type="dxa" w:w="90"/>
              <w:left w:type="dxa" w:w="120"/>
              <w:bottom w:type="dxa" w:w="90"/>
              <w:right w:type="dxa" w:w="120"/>
            </w:tcMar>
            <w:vAlign w:val="center"/>
          </w:tcPr>
          <w:p>
            <w:pPr>
              <w:spacing w:after="0" w:line="258"/>
            </w:pPr>
            <w:r>
              <w:rPr>
                <w:color w:val="1A1A1A"/>
                <w:sz w:val="19"/>
                <w:szCs w:val="19"/>
              </w:rPr>
              <w:t xml:space="preserve">Extract one or more groups from text output and compare them</w:t>
            </w:r>
          </w:p>
        </w:tc>
      </w:tr>
      <w:tr>
        <w:tc>
          <w:tcPr>
            <w:tcW w:type="dxa" w:w="2434"/>
            <w:shd w:fill="F7F6F3" w:val="clear"/>
            <w:tcMar>
              <w:top w:type="dxa" w:w="90"/>
              <w:left w:type="dxa" w:w="120"/>
              <w:bottom w:type="dxa" w:w="90"/>
              <w:right w:type="dxa" w:w="120"/>
            </w:tcMar>
            <w:vAlign w:val="center"/>
          </w:tcPr>
          <w:p>
            <w:pPr>
              <w:spacing w:after="0" w:line="258"/>
            </w:pPr>
            <w:r>
              <w:rPr>
                <w:color w:val="1A1A1A"/>
                <w:sz w:val="19"/>
                <w:szCs w:val="19"/>
              </w:rPr>
              <w:t xml:space="preserve">JSON Path</w:t>
            </w:r>
          </w:p>
        </w:tc>
        <w:tc>
          <w:tcPr>
            <w:tcW w:type="dxa" w:w="6926"/>
            <w:shd w:fill="F7F6F3" w:val="clear"/>
            <w:tcMar>
              <w:top w:type="dxa" w:w="90"/>
              <w:left w:type="dxa" w:w="120"/>
              <w:bottom w:type="dxa" w:w="90"/>
              <w:right w:type="dxa" w:w="120"/>
            </w:tcMar>
            <w:vAlign w:val="center"/>
          </w:tcPr>
          <w:p>
            <w:pPr>
              <w:spacing w:after="0" w:line="258"/>
            </w:pPr>
            <w:r>
              <w:rPr>
                <w:color w:val="1A1A1A"/>
                <w:sz w:val="19"/>
                <w:szCs w:val="19"/>
              </w:rPr>
              <w:t xml:space="preserve">Read a dotted path from JSON output and compare the value</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JSON Key Equals</w:t>
            </w:r>
          </w:p>
        </w:tc>
        <w:tc>
          <w:tcPr>
            <w:tcW w:type="dxa" w:w="6926"/>
            <w:shd w:fill="FFFFFF" w:val="clear"/>
            <w:tcMar>
              <w:top w:type="dxa" w:w="90"/>
              <w:left w:type="dxa" w:w="120"/>
              <w:bottom w:type="dxa" w:w="90"/>
              <w:right w:type="dxa" w:w="120"/>
            </w:tcMar>
            <w:vAlign w:val="center"/>
          </w:tcPr>
          <w:p>
            <w:pPr>
              <w:spacing w:after="0" w:line="258"/>
            </w:pPr>
            <w:r>
              <w:rPr>
                <w:color w:val="1A1A1A"/>
                <w:sz w:val="19"/>
                <w:szCs w:val="19"/>
              </w:rPr>
              <w:t xml:space="preserve">Assert a key holds an expected literal value</w:t>
            </w:r>
          </w:p>
        </w:tc>
      </w:tr>
      <w:tr>
        <w:tc>
          <w:tcPr>
            <w:tcW w:type="dxa" w:w="2434"/>
            <w:shd w:fill="F7F6F3" w:val="clear"/>
            <w:tcMar>
              <w:top w:type="dxa" w:w="90"/>
              <w:left w:type="dxa" w:w="120"/>
              <w:bottom w:type="dxa" w:w="90"/>
              <w:right w:type="dxa" w:w="120"/>
            </w:tcMar>
            <w:vAlign w:val="center"/>
          </w:tcPr>
          <w:p>
            <w:pPr>
              <w:spacing w:after="0" w:line="258"/>
            </w:pPr>
            <w:r>
              <w:rPr>
                <w:color w:val="1A1A1A"/>
                <w:sz w:val="19"/>
                <w:szCs w:val="19"/>
              </w:rPr>
              <w:t xml:space="preserve">Non-Empty Output</w:t>
            </w:r>
          </w:p>
        </w:tc>
        <w:tc>
          <w:tcPr>
            <w:tcW w:type="dxa" w:w="6926"/>
            <w:shd w:fill="F7F6F3" w:val="clear"/>
            <w:tcMar>
              <w:top w:type="dxa" w:w="90"/>
              <w:left w:type="dxa" w:w="120"/>
              <w:bottom w:type="dxa" w:w="90"/>
              <w:right w:type="dxa" w:w="120"/>
            </w:tcMar>
            <w:vAlign w:val="center"/>
          </w:tcPr>
          <w:p>
            <w:pPr>
              <w:spacing w:after="0" w:line="258"/>
            </w:pPr>
            <w:r>
              <w:rPr>
                <w:color w:val="1A1A1A"/>
                <w:sz w:val="19"/>
                <w:szCs w:val="19"/>
              </w:rPr>
              <w:t xml:space="preserve">Assert the fetcher returned anything at all</w:t>
            </w:r>
          </w:p>
        </w:tc>
      </w:tr>
    </w:tbl>
    <w:p>
      <w:pPr>
        <w:spacing w:after="140" w:line="276"/>
      </w:pPr>
      <w:r>
        <w:rPr>
          <w:color w:val="1A1A1A"/>
          <w:sz w:val="21"/>
          <w:szCs w:val="21"/>
        </w:rPr>
        <w:t xml:space="preserve">The logic applied to the extracted value is an enumerated Select — for example ALL_GROUPS_EQUAL, GROUP1_EQUALS_GROUP2, VALUE_GTE_EXPECTED, VALUE_LTE_EXPECTED, MATCH_ABSENT. The engine dispatches on that enum.</w:t>
      </w:r>
    </w:p>
    <w:p>
      <w:pPr>
        <w:spacing w:after="80"/>
      </w:pPr>
    </w:p>
    <w:tbl>
      <w:tblPr>
        <w:tblW w:type="dxa" w:w="9360"/>
        <w:tblBorders>
          <w:top w:val="none"/>
          <w:left w:val="single" w:color="8C3A34" w:sz="18"/>
          <w:bottom w:val="none"/>
          <w:right w:val="none"/>
          <w:insideH w:val="none"/>
          <w:insideV w:val="none"/>
        </w:tblBorders>
      </w:tblPr>
      <w:tblGrid>
        <w:gridCol w:w="9360"/>
      </w:tblGrid>
      <w:tr>
        <w:tc>
          <w:tcPr>
            <w:tcW w:type="dxa" w:w="9360"/>
            <w:shd w:fill="F2EEE6" w:val="clear"/>
            <w:tcMar>
              <w:top w:type="dxa" w:w="150"/>
              <w:left w:type="dxa" w:w="190"/>
              <w:bottom w:type="dxa" w:w="150"/>
              <w:right w:type="dxa" w:w="190"/>
            </w:tcMar>
          </w:tcPr>
          <w:p>
            <w:pPr>
              <w:spacing w:after="70"/>
            </w:pPr>
            <w:r>
              <w:rPr>
                <w:b/>
                <w:bCs/>
                <w:color w:val="8C3A34"/>
                <w:sz w:val="20"/>
                <w:szCs w:val="20"/>
              </w:rPr>
              <w:t xml:space="preserve">Why the logic is enumerated rather than free text</w:t>
            </w:r>
          </w:p>
          <w:p>
            <w:pPr>
              <w:spacing w:after="0" w:line="268"/>
            </w:pPr>
            <w:r>
              <w:rPr>
                <w:sz w:val="20"/>
                <w:szCs w:val="20"/>
              </w:rPr>
              <w:t xml:space="preserve">The upstream Paramify catalogue stores rule logic as strings such as "IF match.group(1) == match.group(2) THEN PASS" and evaluates them in Python. Inside a Frappe site that turns any user who can create a Fetcher record into a holder of arbitrary code execution. The expressiveness given up here is small; the attack surface removed is not.</w:t>
            </w:r>
          </w:p>
        </w:tc>
      </w:tr>
    </w:tbl>
    <w:p>
      <w:pPr>
        <w:pStyle w:val="Heading3"/>
        <w:spacing w:after="110" w:before="240"/>
      </w:pPr>
      <w:r>
        <w:rPr>
          <w:b/>
          <w:bCs/>
          <w:color w:val="1B6E7D"/>
          <w:sz w:val="22"/>
          <w:szCs w:val="22"/>
        </w:rPr>
        <w:t xml:space="preserve">Worst-wins across rules</w:t>
      </w:r>
    </w:p>
    <w:p>
      <w:pPr>
        <w:spacing w:after="140" w:line="276"/>
      </w:pPr>
      <w:r>
        <w:rPr>
          <w:color w:val="1A1A1A"/>
          <w:sz w:val="21"/>
          <w:szCs w:val="21"/>
        </w:rPr>
        <w:t xml:space="preserve">A fetcher may carry several rules. The outcome is the worst across all of them: any fail makes the fetcher fail, and inconclusive outranks pass. The recorded severity is the highest severity among the failing rules.</w:t>
      </w:r>
    </w:p>
    <w:p>
      <w:pPr>
        <w:pStyle w:val="Heading3"/>
        <w:spacing w:after="110" w:before="240"/>
      </w:pPr>
      <w:r>
        <w:rPr>
          <w:b/>
          <w:bCs/>
          <w:color w:val="1B6E7D"/>
          <w:sz w:val="22"/>
          <w:szCs w:val="22"/>
        </w:rPr>
        <w:t xml:space="preserve">The absent-rule case</w:t>
      </w:r>
    </w:p>
    <w:p>
      <w:pPr>
        <w:spacing w:after="140" w:line="276"/>
      </w:pPr>
      <w:r>
        <w:rPr>
          <w:color w:val="1A1A1A"/>
          <w:sz w:val="21"/>
          <w:szCs w:val="21"/>
        </w:rPr>
        <w:t xml:space="preserve">A fetcher with no validation rules records </w:t>
      </w:r>
      <w:r>
        <w:rPr>
          <w:b/>
          <w:bCs/>
          <w:color w:val="1A1A1A"/>
          <w:sz w:val="21"/>
          <w:szCs w:val="21"/>
        </w:rPr>
        <w:t xml:space="preserve">inconclusive</w:t>
      </w:r>
      <w:r>
        <w:rPr>
          <w:color w:val="1A1A1A"/>
          <w:sz w:val="21"/>
          <w:szCs w:val="21"/>
        </w:rPr>
        <w:t xml:space="preserve">, never </w:t>
      </w:r>
      <w:r>
        <w:rPr>
          <w:b/>
          <w:bCs/>
          <w:color w:val="1A1A1A"/>
          <w:sz w:val="21"/>
          <w:szCs w:val="21"/>
        </w:rPr>
        <w:t xml:space="preserve">pass</w:t>
      </w:r>
      <w:r>
        <w:rPr>
          <w:color w:val="1A1A1A"/>
          <w:sz w:val="21"/>
          <w:szCs w:val="21"/>
        </w:rPr>
        <w:t xml:space="preserve">. Collecting a file is not the same as demonstrating a control, and a passing status that means nothing more than "the script ran" will eventually be relied upon by someone who does not know that.</w:t>
      </w:r>
    </w:p>
    <w:p>
      <w:pPr>
        <w:pStyle w:val="Heading2"/>
        <w:spacing w:after="140" w:before="320"/>
      </w:pPr>
      <w:r>
        <w:rPr>
          <w:b/>
          <w:bCs/>
          <w:color w:val="12314F"/>
          <w:sz w:val="26"/>
          <w:szCs w:val="26"/>
        </w:rPr>
        <w:t xml:space="preserve">5.8  Shell fetcher sandboxing</w:t>
      </w:r>
    </w:p>
    <w:p>
      <w:pPr>
        <w:spacing w:after="140" w:line="276"/>
      </w:pPr>
      <w:r>
        <w:rPr>
          <w:color w:val="1A1A1A"/>
          <w:sz w:val="21"/>
          <w:szCs w:val="21"/>
        </w:rPr>
        <w:t xml:space="preserve">Shell handlers execute with shell=False against an argv list. The script path is resolved with os.path.realpath inside the connector's declared script_root. Absolute paths, parent-directory traversal, and symlinks pointing outside the root are all rejected before execution.</w:t>
      </w:r>
    </w:p>
    <w:p>
      <w:pPr>
        <w:spacing w:after="140" w:line="276"/>
      </w:pPr>
      <w:r>
        <w:rPr>
          <w:color w:val="1A1A1A"/>
          <w:sz w:val="21"/>
          <w:szCs w:val="21"/>
        </w:rPr>
        <w:t xml:space="preserve">The reasoning is that a Fetcher record is operator-supplied data. Desk access to create one must not become a remote code execution primitive against the host. Shell connectors therefore ship disabled with no script root configured, so the path has to be set deliberately by someone who understands what they are pointing at.</w:t>
      </w:r>
    </w:p>
    <w:p>
      <w:pPr>
        <w:pStyle w:val="Heading1"/>
        <w:pageBreakBefore/>
        <w:pBdr>
          <w:bottom w:val="single" w:color="1B6E7D" w:sz="10" w:space="8"/>
        </w:pBdr>
        <w:spacing w:after="240" w:before="0"/>
      </w:pPr>
      <w:r>
        <w:rPr>
          <w:b/>
          <w:bCs/>
          <w:color w:val="12314F"/>
          <w:sz w:val="36"/>
          <w:szCs w:val="36"/>
        </w:rPr>
        <w:t xml:space="preserve">6  The finding contract</w:t>
      </w:r>
    </w:p>
    <w:p>
      <w:pPr>
        <w:spacing w:after="140" w:line="276"/>
      </w:pPr>
      <w:r>
        <w:rPr>
          <w:color w:val="1A1A1A"/>
          <w:sz w:val="21"/>
          <w:szCs w:val="21"/>
        </w:rPr>
        <w:t xml:space="preserve">Every finding, whether produced internally or posted by an external connector, must satisfy contract version 1.0.0. One finding document describes one resource and carries one or more control evaluations.</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w:t>
      </w:r>
      <w:r>
        <w:br/>
      </w:r>
      <w:r>
        <w:rPr>
          <w:rFonts w:ascii="Consolas" w:cs="Consolas" w:eastAsia="Consolas" w:hAnsi="Consolas"/>
          <w:color w:val="24303B"/>
          <w:sz w:val="18"/>
          <w:szCs w:val="18"/>
        </w:rPr>
        <w:t xml:space="preserve">  "schema_version": "1.0.0",</w:t>
      </w:r>
      <w:r>
        <w:br/>
      </w:r>
      <w:r>
        <w:rPr>
          <w:rFonts w:ascii="Consolas" w:cs="Consolas" w:eastAsia="Consolas" w:hAnsi="Consolas"/>
          <w:color w:val="24303B"/>
          <w:sz w:val="18"/>
          <w:szCs w:val="18"/>
        </w:rPr>
        <w:t xml:space="preserve">  "source": "aws-inspector",</w:t>
      </w:r>
      <w:r>
        <w:br/>
      </w:r>
      <w:r>
        <w:rPr>
          <w:rFonts w:ascii="Consolas" w:cs="Consolas" w:eastAsia="Consolas" w:hAnsi="Consolas"/>
          <w:color w:val="24303B"/>
          <w:sz w:val="18"/>
          <w:szCs w:val="18"/>
        </w:rPr>
        <w:t xml:space="preserve">  "source_version": "2026.04.01",</w:t>
      </w:r>
      <w:r>
        <w:br/>
      </w:r>
      <w:r>
        <w:rPr>
          <w:rFonts w:ascii="Consolas" w:cs="Consolas" w:eastAsia="Consolas" w:hAnsi="Consolas"/>
          <w:color w:val="24303B"/>
          <w:sz w:val="18"/>
          <w:szCs w:val="18"/>
        </w:rPr>
        <w:t xml:space="preserve">  "run_id": "01HXKJ...",</w:t>
      </w:r>
      <w:r>
        <w:br/>
      </w:r>
      <w:r>
        <w:rPr>
          <w:rFonts w:ascii="Consolas" w:cs="Consolas" w:eastAsia="Consolas" w:hAnsi="Consolas"/>
          <w:color w:val="24303B"/>
          <w:sz w:val="18"/>
          <w:szCs w:val="18"/>
        </w:rPr>
        <w:t xml:space="preserve">  "collected_at": "2026-04-13T15:04:05Z",</w:t>
      </w:r>
      <w:r>
        <w:br/>
      </w:r>
      <w:r>
        <w:rPr>
          <w:rFonts w:ascii="Consolas" w:cs="Consolas" w:eastAsia="Consolas" w:hAnsi="Consolas"/>
          <w:color w:val="24303B"/>
          <w:sz w:val="18"/>
          <w:szCs w:val="18"/>
        </w:rPr>
        <w:t xml:space="preserve">  "resource": {</w:t>
      </w:r>
      <w:r>
        <w:br/>
      </w:r>
      <w:r>
        <w:rPr>
          <w:rFonts w:ascii="Consolas" w:cs="Consolas" w:eastAsia="Consolas" w:hAnsi="Consolas"/>
          <w:color w:val="24303B"/>
          <w:sz w:val="18"/>
          <w:szCs w:val="18"/>
        </w:rPr>
        <w:t xml:space="preserve">    "type": "aws_s3_bucket",</w:t>
      </w:r>
      <w:r>
        <w:br/>
      </w:r>
      <w:r>
        <w:rPr>
          <w:rFonts w:ascii="Consolas" w:cs="Consolas" w:eastAsia="Consolas" w:hAnsi="Consolas"/>
          <w:color w:val="24303B"/>
          <w:sz w:val="18"/>
          <w:szCs w:val="18"/>
        </w:rPr>
        <w:t xml:space="preserve">    "id": "acme-prod-logs",</w:t>
      </w:r>
      <w:r>
        <w:br/>
      </w:r>
      <w:r>
        <w:rPr>
          <w:rFonts w:ascii="Consolas" w:cs="Consolas" w:eastAsia="Consolas" w:hAnsi="Consolas"/>
          <w:color w:val="24303B"/>
          <w:sz w:val="18"/>
          <w:szCs w:val="18"/>
        </w:rPr>
        <w:t xml:space="preserve">    "arn": "arn:aws:s3:::acme-prod-logs",</w:t>
      </w:r>
      <w:r>
        <w:br/>
      </w:r>
      <w:r>
        <w:rPr>
          <w:rFonts w:ascii="Consolas" w:cs="Consolas" w:eastAsia="Consolas" w:hAnsi="Consolas"/>
          <w:color w:val="24303B"/>
          <w:sz w:val="18"/>
          <w:szCs w:val="18"/>
        </w:rPr>
        <w:t xml:space="preserve">    "region": "us-east-1"</w:t>
      </w:r>
      <w:r>
        <w:br/>
      </w:r>
      <w:r>
        <w:rPr>
          <w:rFonts w:ascii="Consolas" w:cs="Consolas" w:eastAsia="Consolas" w:hAnsi="Consolas"/>
          <w:color w:val="24303B"/>
          <w:sz w:val="18"/>
          <w:szCs w:val="18"/>
        </w:rPr>
        <w:t xml:space="preserve">  },</w:t>
      </w:r>
      <w:r>
        <w:br/>
      </w:r>
      <w:r>
        <w:rPr>
          <w:rFonts w:ascii="Consolas" w:cs="Consolas" w:eastAsia="Consolas" w:hAnsi="Consolas"/>
          <w:color w:val="24303B"/>
          <w:sz w:val="18"/>
          <w:szCs w:val="18"/>
        </w:rPr>
        <w:t xml:space="preserve">  "evaluations": [</w:t>
      </w:r>
      <w:r>
        <w:br/>
      </w:r>
      <w:r>
        <w:rPr>
          <w:rFonts w:ascii="Consolas" w:cs="Consolas" w:eastAsia="Consolas" w:hAnsi="Consolas"/>
          <w:color w:val="24303B"/>
          <w:sz w:val="18"/>
          <w:szCs w:val="18"/>
        </w:rPr>
        <w:t xml:space="preserve">    {</w:t>
      </w:r>
      <w:r>
        <w:br/>
      </w:r>
      <w:r>
        <w:rPr>
          <w:rFonts w:ascii="Consolas" w:cs="Consolas" w:eastAsia="Consolas" w:hAnsi="Consolas"/>
          <w:color w:val="24303B"/>
          <w:sz w:val="18"/>
          <w:szCs w:val="18"/>
        </w:rPr>
        <w:t xml:space="preserve">      "control_framework": "NCC",</w:t>
      </w:r>
      <w:r>
        <w:br/>
      </w:r>
      <w:r>
        <w:rPr>
          <w:rFonts w:ascii="Consolas" w:cs="Consolas" w:eastAsia="Consolas" w:hAnsi="Consolas"/>
          <w:color w:val="24303B"/>
          <w:sz w:val="18"/>
          <w:szCs w:val="18"/>
        </w:rPr>
        <w:t xml:space="preserve">      "control_id": "CRY-01",</w:t>
      </w:r>
      <w:r>
        <w:br/>
      </w:r>
      <w:r>
        <w:rPr>
          <w:rFonts w:ascii="Consolas" w:cs="Consolas" w:eastAsia="Consolas" w:hAnsi="Consolas"/>
          <w:color w:val="24303B"/>
          <w:sz w:val="18"/>
          <w:szCs w:val="18"/>
        </w:rPr>
        <w:t xml:space="preserve">      "status": "fail",</w:t>
      </w:r>
      <w:r>
        <w:br/>
      </w:r>
      <w:r>
        <w:rPr>
          <w:rFonts w:ascii="Consolas" w:cs="Consolas" w:eastAsia="Consolas" w:hAnsi="Consolas"/>
          <w:color w:val="24303B"/>
          <w:sz w:val="18"/>
          <w:szCs w:val="18"/>
        </w:rPr>
        <w:t xml:space="preserve">      "severity": "high",</w:t>
      </w:r>
      <w:r>
        <w:br/>
      </w:r>
      <w:r>
        <w:rPr>
          <w:rFonts w:ascii="Consolas" w:cs="Consolas" w:eastAsia="Consolas" w:hAnsi="Consolas"/>
          <w:color w:val="24303B"/>
          <w:sz w:val="18"/>
          <w:szCs w:val="18"/>
        </w:rPr>
        <w:t xml:space="preserve">      "message": "Bucket has no default encryption configured",</w:t>
      </w:r>
      <w:r>
        <w:br/>
      </w:r>
      <w:r>
        <w:rPr>
          <w:rFonts w:ascii="Consolas" w:cs="Consolas" w:eastAsia="Consolas" w:hAnsi="Consolas"/>
          <w:color w:val="24303B"/>
          <w:sz w:val="18"/>
          <w:szCs w:val="18"/>
        </w:rPr>
        <w:t xml:space="preserve">      "remediation": {</w:t>
      </w:r>
      <w:r>
        <w:br/>
      </w:r>
      <w:r>
        <w:rPr>
          <w:rFonts w:ascii="Consolas" w:cs="Consolas" w:eastAsia="Consolas" w:hAnsi="Consolas"/>
          <w:color w:val="24303B"/>
          <w:sz w:val="18"/>
          <w:szCs w:val="18"/>
        </w:rPr>
        <w:t xml:space="preserve">        "summary": "Enable SSE-KMS with a customer-managed key",</w:t>
      </w:r>
      <w:r>
        <w:br/>
      </w:r>
      <w:r>
        <w:rPr>
          <w:rFonts w:ascii="Consolas" w:cs="Consolas" w:eastAsia="Consolas" w:hAnsi="Consolas"/>
          <w:color w:val="24303B"/>
          <w:sz w:val="18"/>
          <w:szCs w:val="18"/>
        </w:rPr>
        <w:t xml:space="preserve">        "effort_hours": 1,</w:t>
      </w:r>
      <w:r>
        <w:br/>
      </w:r>
      <w:r>
        <w:rPr>
          <w:rFonts w:ascii="Consolas" w:cs="Consolas" w:eastAsia="Consolas" w:hAnsi="Consolas"/>
          <w:color w:val="24303B"/>
          <w:sz w:val="18"/>
          <w:szCs w:val="18"/>
        </w:rPr>
        <w:t xml:space="preserve">        "automation": "auto_fixable"</w:t>
      </w:r>
      <w:r>
        <w:br/>
      </w:r>
      <w:r>
        <w:rPr>
          <w:rFonts w:ascii="Consolas" w:cs="Consolas" w:eastAsia="Consolas" w:hAnsi="Consolas"/>
          <w:color w:val="24303B"/>
          <w:sz w:val="18"/>
          <w:szCs w:val="18"/>
        </w:rPr>
        <w:t xml:space="preserve">      }</w:t>
      </w:r>
      <w:r>
        <w:br/>
      </w:r>
      <w:r>
        <w:rPr>
          <w:rFonts w:ascii="Consolas" w:cs="Consolas" w:eastAsia="Consolas" w:hAnsi="Consolas"/>
          <w:color w:val="24303B"/>
          <w:sz w:val="18"/>
          <w:szCs w:val="18"/>
        </w:rPr>
        <w:t xml:space="preserve">    }</w:t>
      </w:r>
      <w:r>
        <w:br/>
      </w:r>
      <w:r>
        <w:rPr>
          <w:rFonts w:ascii="Consolas" w:cs="Consolas" w:eastAsia="Consolas" w:hAnsi="Consolas"/>
          <w:color w:val="24303B"/>
          <w:sz w:val="18"/>
          <w:szCs w:val="18"/>
        </w:rPr>
        <w:t xml:space="preserve">  ]</w:t>
      </w:r>
      <w:r>
        <w:br/>
      </w:r>
      <w:r>
        <w:rPr>
          <w:rFonts w:ascii="Consolas" w:cs="Consolas" w:eastAsia="Consolas" w:hAnsi="Consolas"/>
          <w:color w:val="24303B"/>
          <w:sz w:val="18"/>
          <w:szCs w:val="18"/>
        </w:rPr>
        <w:t xml:space="preserve">}</w:t>
      </w:r>
    </w:p>
    <w:p>
      <w:pPr>
        <w:pStyle w:val="Heading2"/>
        <w:spacing w:after="140" w:before="320"/>
      </w:pPr>
      <w:r>
        <w:rPr>
          <w:b/>
          <w:bCs/>
          <w:color w:val="12314F"/>
          <w:sz w:val="26"/>
          <w:szCs w:val="26"/>
        </w:rPr>
        <w:t xml:space="preserve">6.1  Status and severity are independent</w:t>
      </w:r>
    </w:p>
    <w:tbl>
      <w:tblPr>
        <w:tblW w:type="dxa" w:w="9360"/>
        <w:tblBorders>
          <w:top w:val="single" w:color="C9D0D6" w:sz="4"/>
          <w:left w:val="none"/>
          <w:bottom w:val="single" w:color="C9D0D6" w:sz="4"/>
          <w:right w:val="none"/>
          <w:insideH w:val="single" w:color="DDE2E6" w:sz="2"/>
          <w:insideV w:val="none"/>
        </w:tblBorders>
      </w:tblPr>
      <w:tblGrid>
        <w:gridCol w:w="1685"/>
        <w:gridCol w:w="4118"/>
        <w:gridCol w:w="3557"/>
      </w:tblGrid>
      <w:tr>
        <w:trPr>
          <w:tblHeader/>
        </w:trPr>
        <w:tc>
          <w:tcPr>
            <w:tcW w:type="dxa" w:w="1685"/>
            <w:shd w:fill="12314F" w:val="clear"/>
            <w:tcMar>
              <w:top w:type="dxa" w:w="90"/>
              <w:left w:type="dxa" w:w="120"/>
              <w:bottom w:type="dxa" w:w="90"/>
              <w:right w:type="dxa" w:w="120"/>
            </w:tcMar>
            <w:vAlign w:val="center"/>
          </w:tcPr>
          <w:p>
            <w:pPr>
              <w:spacing w:after="0" w:line="258"/>
            </w:pPr>
            <w:r>
              <w:rPr>
                <w:b/>
                <w:bCs/>
                <w:color w:val="FFFFFF"/>
                <w:sz w:val="18"/>
                <w:szCs w:val="18"/>
              </w:rPr>
              <w:t xml:space="preserve">Field</w:t>
            </w:r>
          </w:p>
        </w:tc>
        <w:tc>
          <w:tcPr>
            <w:tcW w:type="dxa" w:w="4118"/>
            <w:shd w:fill="12314F" w:val="clear"/>
            <w:tcMar>
              <w:top w:type="dxa" w:w="90"/>
              <w:left w:type="dxa" w:w="120"/>
              <w:bottom w:type="dxa" w:w="90"/>
              <w:right w:type="dxa" w:w="120"/>
            </w:tcMar>
            <w:vAlign w:val="center"/>
          </w:tcPr>
          <w:p>
            <w:pPr>
              <w:spacing w:after="0" w:line="258"/>
            </w:pPr>
            <w:r>
              <w:rPr>
                <w:b/>
                <w:bCs/>
                <w:color w:val="FFFFFF"/>
                <w:sz w:val="18"/>
                <w:szCs w:val="18"/>
              </w:rPr>
              <w:t xml:space="preserve">Values</w:t>
            </w:r>
          </w:p>
        </w:tc>
        <w:tc>
          <w:tcPr>
            <w:tcW w:type="dxa" w:w="3557"/>
            <w:shd w:fill="12314F" w:val="clear"/>
            <w:tcMar>
              <w:top w:type="dxa" w:w="90"/>
              <w:left w:type="dxa" w:w="120"/>
              <w:bottom w:type="dxa" w:w="90"/>
              <w:right w:type="dxa" w:w="120"/>
            </w:tcMar>
            <w:vAlign w:val="center"/>
          </w:tcPr>
          <w:p>
            <w:pPr>
              <w:spacing w:after="0" w:line="258"/>
            </w:pPr>
            <w:r>
              <w:rPr>
                <w:b/>
                <w:bCs/>
                <w:color w:val="FFFFFF"/>
                <w:sz w:val="18"/>
                <w:szCs w:val="18"/>
              </w:rPr>
              <w:t xml:space="preserve">Meaning</w:t>
            </w:r>
          </w:p>
        </w:tc>
      </w:tr>
      <w:tr>
        <w:tc>
          <w:tcPr>
            <w:tcW w:type="dxa" w:w="1685"/>
            <w:shd w:fill="FFFFFF" w:val="clear"/>
            <w:tcMar>
              <w:top w:type="dxa" w:w="90"/>
              <w:left w:type="dxa" w:w="120"/>
              <w:bottom w:type="dxa" w:w="90"/>
              <w:right w:type="dxa" w:w="120"/>
            </w:tcMar>
            <w:vAlign w:val="center"/>
          </w:tcPr>
          <w:p>
            <w:pPr>
              <w:spacing w:after="0" w:line="258"/>
            </w:pPr>
            <w:r>
              <w:rPr>
                <w:color w:val="1A1A1A"/>
                <w:sz w:val="19"/>
                <w:szCs w:val="19"/>
              </w:rPr>
              <w:t xml:space="preserve">status</w:t>
            </w:r>
          </w:p>
        </w:tc>
        <w:tc>
          <w:tcPr>
            <w:tcW w:type="dxa" w:w="4118"/>
            <w:shd w:fill="FFFFFF" w:val="clear"/>
            <w:tcMar>
              <w:top w:type="dxa" w:w="90"/>
              <w:left w:type="dxa" w:w="120"/>
              <w:bottom w:type="dxa" w:w="90"/>
              <w:right w:type="dxa" w:w="120"/>
            </w:tcMar>
            <w:vAlign w:val="center"/>
          </w:tcPr>
          <w:p>
            <w:pPr>
              <w:spacing w:after="0" w:line="258"/>
            </w:pPr>
            <w:r>
              <w:rPr>
                <w:color w:val="1A1A1A"/>
                <w:sz w:val="19"/>
                <w:szCs w:val="19"/>
              </w:rPr>
              <w:t xml:space="preserve">pass, fail, not_applicable, inconclusive, skipped</w:t>
            </w:r>
          </w:p>
        </w:tc>
        <w:tc>
          <w:tcPr>
            <w:tcW w:type="dxa" w:w="3557"/>
            <w:shd w:fill="FFFFFF" w:val="clear"/>
            <w:tcMar>
              <w:top w:type="dxa" w:w="90"/>
              <w:left w:type="dxa" w:w="120"/>
              <w:bottom w:type="dxa" w:w="90"/>
              <w:right w:type="dxa" w:w="120"/>
            </w:tcMar>
            <w:vAlign w:val="center"/>
          </w:tcPr>
          <w:p>
            <w:pPr>
              <w:spacing w:after="0" w:line="258"/>
            </w:pPr>
            <w:r>
              <w:rPr>
                <w:color w:val="1A1A1A"/>
                <w:sz w:val="19"/>
                <w:szCs w:val="19"/>
              </w:rPr>
              <w:t xml:space="preserve">What the check found</w:t>
            </w:r>
          </w:p>
        </w:tc>
      </w:tr>
      <w:tr>
        <w:tc>
          <w:tcPr>
            <w:tcW w:type="dxa" w:w="1685"/>
            <w:shd w:fill="F7F6F3" w:val="clear"/>
            <w:tcMar>
              <w:top w:type="dxa" w:w="90"/>
              <w:left w:type="dxa" w:w="120"/>
              <w:bottom w:type="dxa" w:w="90"/>
              <w:right w:type="dxa" w:w="120"/>
            </w:tcMar>
            <w:vAlign w:val="center"/>
          </w:tcPr>
          <w:p>
            <w:pPr>
              <w:spacing w:after="0" w:line="258"/>
            </w:pPr>
            <w:r>
              <w:rPr>
                <w:color w:val="1A1A1A"/>
                <w:sz w:val="19"/>
                <w:szCs w:val="19"/>
              </w:rPr>
              <w:t xml:space="preserve">severity</w:t>
            </w:r>
          </w:p>
        </w:tc>
        <w:tc>
          <w:tcPr>
            <w:tcW w:type="dxa" w:w="4118"/>
            <w:shd w:fill="F7F6F3" w:val="clear"/>
            <w:tcMar>
              <w:top w:type="dxa" w:w="90"/>
              <w:left w:type="dxa" w:w="120"/>
              <w:bottom w:type="dxa" w:w="90"/>
              <w:right w:type="dxa" w:w="120"/>
            </w:tcMar>
            <w:vAlign w:val="center"/>
          </w:tcPr>
          <w:p>
            <w:pPr>
              <w:spacing w:after="0" w:line="258"/>
            </w:pPr>
            <w:r>
              <w:rPr>
                <w:color w:val="1A1A1A"/>
                <w:sz w:val="19"/>
                <w:szCs w:val="19"/>
              </w:rPr>
              <w:t xml:space="preserve">critical, high, medium, low, info</w:t>
            </w:r>
          </w:p>
        </w:tc>
        <w:tc>
          <w:tcPr>
            <w:tcW w:type="dxa" w:w="3557"/>
            <w:shd w:fill="F7F6F3" w:val="clear"/>
            <w:tcMar>
              <w:top w:type="dxa" w:w="90"/>
              <w:left w:type="dxa" w:w="120"/>
              <w:bottom w:type="dxa" w:w="90"/>
              <w:right w:type="dxa" w:w="120"/>
            </w:tcMar>
            <w:vAlign w:val="center"/>
          </w:tcPr>
          <w:p>
            <w:pPr>
              <w:spacing w:after="0" w:line="258"/>
            </w:pPr>
            <w:r>
              <w:rPr>
                <w:color w:val="1A1A1A"/>
                <w:sz w:val="19"/>
                <w:szCs w:val="19"/>
              </w:rPr>
              <w:t xml:space="preserve">How much it matters if the control is failing</w:t>
            </w:r>
          </w:p>
        </w:tc>
      </w:tr>
      <w:tr>
        <w:tc>
          <w:tcPr>
            <w:tcW w:type="dxa" w:w="1685"/>
            <w:shd w:fill="FFFFFF" w:val="clear"/>
            <w:tcMar>
              <w:top w:type="dxa" w:w="90"/>
              <w:left w:type="dxa" w:w="120"/>
              <w:bottom w:type="dxa" w:w="90"/>
              <w:right w:type="dxa" w:w="120"/>
            </w:tcMar>
            <w:vAlign w:val="center"/>
          </w:tcPr>
          <w:p>
            <w:pPr>
              <w:spacing w:after="0" w:line="258"/>
            </w:pPr>
            <w:r>
              <w:rPr>
                <w:color w:val="1A1A1A"/>
                <w:sz w:val="19"/>
                <w:szCs w:val="19"/>
              </w:rPr>
              <w:t xml:space="preserve">automation</w:t>
            </w:r>
          </w:p>
        </w:tc>
        <w:tc>
          <w:tcPr>
            <w:tcW w:type="dxa" w:w="4118"/>
            <w:shd w:fill="FFFFFF" w:val="clear"/>
            <w:tcMar>
              <w:top w:type="dxa" w:w="90"/>
              <w:left w:type="dxa" w:w="120"/>
              <w:bottom w:type="dxa" w:w="90"/>
              <w:right w:type="dxa" w:w="120"/>
            </w:tcMar>
            <w:vAlign w:val="center"/>
          </w:tcPr>
          <w:p>
            <w:pPr>
              <w:spacing w:after="0" w:line="258"/>
            </w:pPr>
            <w:r>
              <w:rPr>
                <w:color w:val="1A1A1A"/>
                <w:sz w:val="19"/>
                <w:szCs w:val="19"/>
              </w:rPr>
              <w:t xml:space="preserve">auto_fixable, semi_automated, manual, design_change</w:t>
            </w:r>
          </w:p>
        </w:tc>
        <w:tc>
          <w:tcPr>
            <w:tcW w:type="dxa" w:w="3557"/>
            <w:shd w:fill="FFFFFF" w:val="clear"/>
            <w:tcMar>
              <w:top w:type="dxa" w:w="90"/>
              <w:left w:type="dxa" w:w="120"/>
              <w:bottom w:type="dxa" w:w="90"/>
              <w:right w:type="dxa" w:w="120"/>
            </w:tcMar>
            <w:vAlign w:val="center"/>
          </w:tcPr>
          <w:p>
            <w:pPr>
              <w:spacing w:after="0" w:line="258"/>
            </w:pPr>
            <w:r>
              <w:rPr>
                <w:color w:val="1A1A1A"/>
                <w:sz w:val="19"/>
                <w:szCs w:val="19"/>
              </w:rPr>
              <w:t xml:space="preserve">What remediation would take</w:t>
            </w:r>
          </w:p>
        </w:tc>
      </w:tr>
    </w:tbl>
    <w:p>
      <w:pPr>
        <w:spacing w:after="140" w:line="276"/>
      </w:pPr>
      <w:r>
        <w:rPr>
          <w:color w:val="1A1A1A"/>
          <w:sz w:val="21"/>
          <w:szCs w:val="21"/>
        </w:rPr>
        <w:t xml:space="preserve">Conflating the two is a common design error. A failing low-severity control is real and belongs in the register; it is simply not urgent. Keeping the fields separate is what lets the remediation plan sort by impact rather than by alarm.</w:t>
      </w:r>
    </w:p>
    <w:p>
      <w:pPr>
        <w:spacing w:after="140" w:line="276"/>
      </w:pPr>
      <w:r>
        <w:rPr>
          <w:color w:val="1A1A1A"/>
          <w:sz w:val="21"/>
          <w:szCs w:val="21"/>
        </w:rPr>
        <w:t xml:space="preserve">The </w:t>
      </w:r>
      <w:r>
        <w:rPr>
          <w:b/>
          <w:bCs/>
          <w:color w:val="1A1A1A"/>
          <w:sz w:val="21"/>
          <w:szCs w:val="21"/>
        </w:rPr>
        <w:t xml:space="preserve">inconclusive</w:t>
      </w:r>
      <w:r>
        <w:rPr>
          <w:color w:val="1A1A1A"/>
          <w:sz w:val="21"/>
          <w:szCs w:val="21"/>
        </w:rPr>
        <w:t xml:space="preserve"> status carries specific meaning: the tool tried and could not determine the answer. A dropped API call, a permission the collection role lacks, a malformed response. It is never scored as a pass, and a control whose only evidence is inconclusive is reported as assessed-but-undetermined rather than compliant.</w:t>
      </w:r>
    </w:p>
    <w:p>
      <w:pPr>
        <w:pStyle w:val="Heading2"/>
        <w:spacing w:after="140" w:before="320"/>
      </w:pPr>
      <w:r>
        <w:rPr>
          <w:b/>
          <w:bCs/>
          <w:color w:val="12314F"/>
          <w:sz w:val="26"/>
          <w:szCs w:val="26"/>
        </w:rPr>
        <w:t xml:space="preserve">6.2  Contract rules enforced at ingest</w:t>
      </w:r>
    </w:p>
    <w:p>
      <w:pPr>
        <w:pStyle w:val="ListParagraph"/>
        <w:numPr>
          <w:ilvl w:val="0"/>
          <w:numId w:val="2"/>
        </w:numPr>
        <w:spacing w:after="90" w:line="264"/>
      </w:pPr>
      <w:r>
        <w:rPr>
          <w:sz w:val="21"/>
          <w:szCs w:val="21"/>
        </w:rPr>
        <w:t xml:space="preserve">A fail evaluation must carry both a message and a severity. An unexplained failure is not actionable.</w:t>
      </w:r>
    </w:p>
    <w:p>
      <w:pPr>
        <w:pStyle w:val="ListParagraph"/>
        <w:numPr>
          <w:ilvl w:val="0"/>
          <w:numId w:val="2"/>
        </w:numPr>
        <w:spacing w:after="90" w:line="264"/>
      </w:pPr>
      <w:r>
        <w:rPr>
          <w:sz w:val="21"/>
          <w:szCs w:val="21"/>
        </w:rPr>
        <w:t xml:space="preserve">An inconclusive evaluation must carry a message explaining why the determination could not be made.</w:t>
      </w:r>
    </w:p>
    <w:p>
      <w:pPr>
        <w:pStyle w:val="ListParagraph"/>
        <w:numPr>
          <w:ilvl w:val="0"/>
          <w:numId w:val="2"/>
        </w:numPr>
        <w:spacing w:after="90" w:line="264"/>
      </w:pPr>
      <w:r>
        <w:rPr>
          <w:sz w:val="21"/>
          <w:szCs w:val="21"/>
        </w:rPr>
        <w:t xml:space="preserve">A pass evaluation needs neither, though both are accepted.</w:t>
      </w:r>
    </w:p>
    <w:p>
      <w:pPr>
        <w:pStyle w:val="ListParagraph"/>
        <w:numPr>
          <w:ilvl w:val="0"/>
          <w:numId w:val="2"/>
        </w:numPr>
        <w:spacing w:after="90" w:line="264"/>
      </w:pPr>
      <w:r>
        <w:rPr>
          <w:sz w:val="21"/>
          <w:szCs w:val="21"/>
        </w:rPr>
        <w:t xml:space="preserve">At least one evaluation is required. A finding with no evaluations describes nothing.</w:t>
      </w:r>
    </w:p>
    <w:p>
      <w:pPr>
        <w:pStyle w:val="ListParagraph"/>
        <w:numPr>
          <w:ilvl w:val="0"/>
          <w:numId w:val="2"/>
        </w:numPr>
        <w:spacing w:after="90" w:line="264"/>
      </w:pPr>
      <w:r>
        <w:rPr>
          <w:sz w:val="21"/>
          <w:szCs w:val="21"/>
        </w:rPr>
        <w:t xml:space="preserve">collected_at must be a valid ISO-8601 timestamp; offsets are normalised to UTC on write.</w:t>
      </w:r>
    </w:p>
    <w:p>
      <w:pPr>
        <w:pStyle w:val="ListParagraph"/>
        <w:numPr>
          <w:ilvl w:val="0"/>
          <w:numId w:val="2"/>
        </w:numPr>
        <w:spacing w:after="90" w:line="264"/>
      </w:pPr>
      <w:r>
        <w:rPr>
          <w:sz w:val="21"/>
          <w:szCs w:val="21"/>
        </w:rPr>
        <w:t xml:space="preserve">effort_hours, where present, must be non-negative.</w:t>
      </w:r>
    </w:p>
    <w:p>
      <w:pPr>
        <w:pStyle w:val="ListParagraph"/>
        <w:numPr>
          <w:ilvl w:val="0"/>
          <w:numId w:val="2"/>
        </w:numPr>
        <w:spacing w:after="90" w:line="264"/>
      </w:pPr>
      <w:r>
        <w:rPr>
          <w:sz w:val="21"/>
          <w:szCs w:val="21"/>
        </w:rPr>
        <w:t xml:space="preserve">The schema major version must match. A 2.x document is rejected rather than best-guessed.</w:t>
      </w:r>
    </w:p>
    <w:p>
      <w:pPr>
        <w:pStyle w:val="Heading2"/>
        <w:spacing w:after="140" w:before="320"/>
      </w:pPr>
      <w:r>
        <w:rPr>
          <w:b/>
          <w:bCs/>
          <w:color w:val="12314F"/>
          <w:sz w:val="26"/>
          <w:szCs w:val="26"/>
        </w:rPr>
        <w:t xml:space="preserve">6.3  Ingest API</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curl -X POST https://yoursite/api/method/ \</w:t>
      </w:r>
      <w:r>
        <w:br/>
      </w:r>
      <w:r>
        <w:rPr>
          <w:rFonts w:ascii="Consolas" w:cs="Consolas" w:eastAsia="Consolas" w:hAnsi="Consolas"/>
          <w:color w:val="24303B"/>
          <w:sz w:val="18"/>
          <w:szCs w:val="18"/>
        </w:rPr>
        <w:t xml:space="preserve">     neogrc.api.ingest_findings \</w:t>
      </w:r>
      <w:r>
        <w:br/>
      </w:r>
      <w:r>
        <w:rPr>
          <w:rFonts w:ascii="Consolas" w:cs="Consolas" w:eastAsia="Consolas" w:hAnsi="Consolas"/>
          <w:color w:val="24303B"/>
          <w:sz w:val="18"/>
          <w:szCs w:val="18"/>
        </w:rPr>
        <w:t xml:space="preserve">  -H "Authorization: token &lt;api_key&gt;:&lt;api_secret&gt;" \</w:t>
      </w:r>
      <w:r>
        <w:br/>
      </w:r>
      <w:r>
        <w:rPr>
          <w:rFonts w:ascii="Consolas" w:cs="Consolas" w:eastAsia="Consolas" w:hAnsi="Consolas"/>
          <w:color w:val="24303B"/>
          <w:sz w:val="18"/>
          <w:szCs w:val="18"/>
        </w:rPr>
        <w:t xml:space="preserve">  -H "Content-Type: application/json" \</w:t>
      </w:r>
      <w:r>
        <w:br/>
      </w:r>
      <w:r>
        <w:rPr>
          <w:rFonts w:ascii="Consolas" w:cs="Consolas" w:eastAsia="Consolas" w:hAnsi="Consolas"/>
          <w:color w:val="24303B"/>
          <w:sz w:val="18"/>
          <w:szCs w:val="18"/>
        </w:rPr>
        <w:t xml:space="preserve">  -d '{"findings": [ ... ], "dry_run": 1}'</w:t>
      </w:r>
    </w:p>
    <w:tbl>
      <w:tblPr>
        <w:tblW w:type="dxa" w:w="9360"/>
        <w:tblBorders>
          <w:top w:val="single" w:color="C9D0D6" w:sz="4"/>
          <w:left w:val="none"/>
          <w:bottom w:val="single" w:color="C9D0D6" w:sz="4"/>
          <w:right w:val="none"/>
          <w:insideH w:val="single" w:color="DDE2E6" w:sz="2"/>
          <w:insideV w:val="none"/>
        </w:tblBorders>
      </w:tblPr>
      <w:tblGrid>
        <w:gridCol w:w="2434"/>
        <w:gridCol w:w="6926"/>
      </w:tblGrid>
      <w:tr>
        <w:trPr>
          <w:tblHeader/>
        </w:trPr>
        <w:tc>
          <w:tcPr>
            <w:tcW w:type="dxa" w:w="2434"/>
            <w:shd w:fill="12314F" w:val="clear"/>
            <w:tcMar>
              <w:top w:type="dxa" w:w="90"/>
              <w:left w:type="dxa" w:w="120"/>
              <w:bottom w:type="dxa" w:w="90"/>
              <w:right w:type="dxa" w:w="120"/>
            </w:tcMar>
            <w:vAlign w:val="center"/>
          </w:tcPr>
          <w:p>
            <w:pPr>
              <w:spacing w:after="0" w:line="258"/>
            </w:pPr>
            <w:r>
              <w:rPr>
                <w:b/>
                <w:bCs/>
                <w:color w:val="FFFFFF"/>
                <w:sz w:val="18"/>
                <w:szCs w:val="18"/>
              </w:rPr>
              <w:t xml:space="preserve">Behaviour</w:t>
            </w:r>
          </w:p>
        </w:tc>
        <w:tc>
          <w:tcPr>
            <w:tcW w:type="dxa" w:w="6926"/>
            <w:shd w:fill="12314F" w:val="clear"/>
            <w:tcMar>
              <w:top w:type="dxa" w:w="90"/>
              <w:left w:type="dxa" w:w="120"/>
              <w:bottom w:type="dxa" w:w="90"/>
              <w:right w:type="dxa" w:w="120"/>
            </w:tcMar>
            <w:vAlign w:val="center"/>
          </w:tcPr>
          <w:p>
            <w:pPr>
              <w:spacing w:after="0" w:line="258"/>
            </w:pPr>
            <w:r>
              <w:rPr>
                <w:b/>
                <w:bCs/>
                <w:color w:val="FFFFFF"/>
                <w:sz w:val="18"/>
                <w:szCs w:val="18"/>
              </w:rPr>
              <w:t xml:space="preserve">Detail</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Whole-batch validation</w:t>
            </w:r>
          </w:p>
        </w:tc>
        <w:tc>
          <w:tcPr>
            <w:tcW w:type="dxa" w:w="6926"/>
            <w:shd w:fill="FFFFFF" w:val="clear"/>
            <w:tcMar>
              <w:top w:type="dxa" w:w="90"/>
              <w:left w:type="dxa" w:w="120"/>
              <w:bottom w:type="dxa" w:w="90"/>
              <w:right w:type="dxa" w:w="120"/>
            </w:tcMar>
            <w:vAlign w:val="center"/>
          </w:tcPr>
          <w:p>
            <w:pPr>
              <w:spacing w:after="0" w:line="258"/>
            </w:pPr>
            <w:r>
              <w:rPr>
                <w:color w:val="1A1A1A"/>
                <w:sz w:val="19"/>
                <w:szCs w:val="19"/>
              </w:rPr>
              <w:t xml:space="preserve">The entire batch is validated before anything is written. A partially ingested run is worse than a rejected one, because a gap assessment over half a connector's output reports the missing half as uncovered and nobody notices.</w:t>
            </w:r>
          </w:p>
        </w:tc>
      </w:tr>
      <w:tr>
        <w:tc>
          <w:tcPr>
            <w:tcW w:type="dxa" w:w="2434"/>
            <w:shd w:fill="F7F6F3" w:val="clear"/>
            <w:tcMar>
              <w:top w:type="dxa" w:w="90"/>
              <w:left w:type="dxa" w:w="120"/>
              <w:bottom w:type="dxa" w:w="90"/>
              <w:right w:type="dxa" w:w="120"/>
            </w:tcMar>
            <w:vAlign w:val="center"/>
          </w:tcPr>
          <w:p>
            <w:pPr>
              <w:spacing w:after="0" w:line="258"/>
            </w:pPr>
            <w:r>
              <w:rPr>
                <w:color w:val="1A1A1A"/>
                <w:sz w:val="19"/>
                <w:szCs w:val="19"/>
              </w:rPr>
              <w:t xml:space="preserve">Idempotent</w:t>
            </w:r>
          </w:p>
        </w:tc>
        <w:tc>
          <w:tcPr>
            <w:tcW w:type="dxa" w:w="6926"/>
            <w:shd w:fill="F7F6F3" w:val="clear"/>
            <w:tcMar>
              <w:top w:type="dxa" w:w="90"/>
              <w:left w:type="dxa" w:w="120"/>
              <w:bottom w:type="dxa" w:w="90"/>
              <w:right w:type="dxa" w:w="120"/>
            </w:tcMar>
            <w:vAlign w:val="center"/>
          </w:tcPr>
          <w:p>
            <w:pPr>
              <w:spacing w:after="0" w:line="258"/>
            </w:pPr>
            <w:r>
              <w:rPr>
                <w:color w:val="1A1A1A"/>
                <w:sz w:val="19"/>
                <w:szCs w:val="19"/>
              </w:rPr>
              <w:t xml:space="preserve">Keyed on run_id, source, resource_id and resource_type. Re-posting the same batch updates in place rather than duplicating.</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Dry run</w:t>
            </w:r>
          </w:p>
        </w:tc>
        <w:tc>
          <w:tcPr>
            <w:tcW w:type="dxa" w:w="6926"/>
            <w:shd w:fill="FFFFFF" w:val="clear"/>
            <w:tcMar>
              <w:top w:type="dxa" w:w="90"/>
              <w:left w:type="dxa" w:w="120"/>
              <w:bottom w:type="dxa" w:w="90"/>
              <w:right w:type="dxa" w:w="120"/>
            </w:tcMar>
            <w:vAlign w:val="center"/>
          </w:tcPr>
          <w:p>
            <w:pPr>
              <w:spacing w:after="0" w:line="258"/>
            </w:pPr>
            <w:r>
              <w:rPr>
                <w:color w:val="1A1A1A"/>
                <w:sz w:val="19"/>
                <w:szCs w:val="19"/>
              </w:rPr>
              <w:t xml:space="preserve">dry_run: 1 validates and reports errors without writing. Use it when building a new connector.</w:t>
            </w:r>
          </w:p>
        </w:tc>
      </w:tr>
      <w:tr>
        <w:tc>
          <w:tcPr>
            <w:tcW w:type="dxa" w:w="2434"/>
            <w:shd w:fill="F7F6F3" w:val="clear"/>
            <w:tcMar>
              <w:top w:type="dxa" w:w="90"/>
              <w:left w:type="dxa" w:w="120"/>
              <w:bottom w:type="dxa" w:w="90"/>
              <w:right w:type="dxa" w:w="120"/>
            </w:tcMar>
            <w:vAlign w:val="center"/>
          </w:tcPr>
          <w:p>
            <w:pPr>
              <w:spacing w:after="0" w:line="258"/>
            </w:pPr>
            <w:r>
              <w:rPr>
                <w:color w:val="1A1A1A"/>
                <w:sz w:val="19"/>
                <w:szCs w:val="19"/>
              </w:rPr>
              <w:t xml:space="preserve">Batch ceiling</w:t>
            </w:r>
          </w:p>
        </w:tc>
        <w:tc>
          <w:tcPr>
            <w:tcW w:type="dxa" w:w="6926"/>
            <w:shd w:fill="F7F6F3" w:val="clear"/>
            <w:tcMar>
              <w:top w:type="dxa" w:w="90"/>
              <w:left w:type="dxa" w:w="120"/>
              <w:bottom w:type="dxa" w:w="90"/>
              <w:right w:type="dxa" w:w="120"/>
            </w:tcMar>
            <w:vAlign w:val="center"/>
          </w:tcPr>
          <w:p>
            <w:pPr>
              <w:spacing w:after="0" w:line="258"/>
            </w:pPr>
            <w:r>
              <w:rPr>
                <w:color w:val="1A1A1A"/>
                <w:sz w:val="19"/>
                <w:szCs w:val="19"/>
              </w:rPr>
              <w:t xml:space="preserve">2,000 findings per call. Larger collections should page.</w:t>
            </w:r>
          </w:p>
        </w:tc>
      </w:tr>
      <w:tr>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Redaction</w:t>
            </w:r>
          </w:p>
        </w:tc>
        <w:tc>
          <w:tcPr>
            <w:tcW w:type="dxa" w:w="6926"/>
            <w:shd w:fill="FFFFFF" w:val="clear"/>
            <w:tcMar>
              <w:top w:type="dxa" w:w="90"/>
              <w:left w:type="dxa" w:w="120"/>
              <w:bottom w:type="dxa" w:w="90"/>
              <w:right w:type="dxa" w:w="120"/>
            </w:tcMar>
            <w:vAlign w:val="center"/>
          </w:tcPr>
          <w:p>
            <w:pPr>
              <w:spacing w:after="0" w:line="258"/>
            </w:pPr>
            <w:r>
              <w:rPr>
                <w:color w:val="1A1A1A"/>
                <w:sz w:val="19"/>
                <w:szCs w:val="19"/>
              </w:rPr>
              <w:t xml:space="preserve">Configured key names — password, token, secret, iqama, national_id and others — are stripped from raw resource attributes on write.</w:t>
            </w:r>
          </w:p>
        </w:tc>
      </w:tr>
      <w:tr>
        <w:tc>
          <w:tcPr>
            <w:tcW w:type="dxa" w:w="2434"/>
            <w:shd w:fill="F7F6F3" w:val="clear"/>
            <w:tcMar>
              <w:top w:type="dxa" w:w="90"/>
              <w:left w:type="dxa" w:w="120"/>
              <w:bottom w:type="dxa" w:w="90"/>
              <w:right w:type="dxa" w:w="120"/>
            </w:tcMar>
            <w:vAlign w:val="center"/>
          </w:tcPr>
          <w:p>
            <w:pPr>
              <w:spacing w:after="0" w:line="258"/>
            </w:pPr>
            <w:r>
              <w:rPr>
                <w:color w:val="1A1A1A"/>
                <w:sz w:val="19"/>
                <w:szCs w:val="19"/>
              </w:rPr>
              <w:t xml:space="preserve">Role-guarded</w:t>
            </w:r>
          </w:p>
        </w:tc>
        <w:tc>
          <w:tcPr>
            <w:tcW w:type="dxa" w:w="6926"/>
            <w:shd w:fill="F7F6F3" w:val="clear"/>
            <w:tcMar>
              <w:top w:type="dxa" w:w="90"/>
              <w:left w:type="dxa" w:w="120"/>
              <w:bottom w:type="dxa" w:w="90"/>
              <w:right w:type="dxa" w:w="120"/>
            </w:tcMar>
            <w:vAlign w:val="center"/>
          </w:tcPr>
          <w:p>
            <w:pPr>
              <w:spacing w:after="0" w:line="258"/>
            </w:pPr>
            <w:r>
              <w:rPr>
                <w:color w:val="1A1A1A"/>
                <w:sz w:val="19"/>
                <w:szCs w:val="19"/>
              </w:rPr>
              <w:t xml:space="preserve">Requires NeoGRC Manager or NeoGRC Engineer. Errors are indexed, so findings[7] tells the connector author exactly which document failed.</w:t>
            </w:r>
          </w:p>
        </w:tc>
      </w:tr>
    </w:tbl>
    <w:p>
      <w:pPr>
        <w:pStyle w:val="Heading1"/>
        <w:pageBreakBefore/>
        <w:pBdr>
          <w:bottom w:val="single" w:color="1B6E7D" w:sz="10" w:space="8"/>
        </w:pBdr>
        <w:spacing w:after="240" w:before="0"/>
      </w:pPr>
      <w:r>
        <w:rPr>
          <w:b/>
          <w:bCs/>
          <w:color w:val="12314F"/>
          <w:sz w:val="36"/>
          <w:szCs w:val="36"/>
        </w:rPr>
        <w:t xml:space="preserve">7  Crosswalk and gap assessment</w:t>
      </w:r>
    </w:p>
    <w:p>
      <w:pPr>
        <w:pStyle w:val="Heading2"/>
        <w:spacing w:after="140" w:before="320"/>
      </w:pPr>
      <w:r>
        <w:rPr>
          <w:b/>
          <w:bCs/>
          <w:color w:val="12314F"/>
          <w:sz w:val="26"/>
          <w:szCs w:val="26"/>
        </w:rPr>
        <w:t xml:space="preserve">7.1  Two-hop resolution</w:t>
      </w:r>
    </w:p>
    <w:p>
      <w:pPr>
        <w:spacing w:after="80" w:before="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62200"/>
                    </a:xfrm>
                    <a:prstGeom prst="rect">
                      <a:avLst/>
                    </a:prstGeom>
                  </pic:spPr>
                </pic:pic>
              </a:graphicData>
            </a:graphic>
          </wp:inline>
        </w:drawing>
      </w:r>
    </w:p>
    <w:p>
      <w:pPr>
        <w:spacing w:after="260"/>
        <w:jc w:val="center"/>
      </w:pPr>
      <w:r>
        <w:rPr>
          <w:i/>
          <w:iCs/>
          <w:color w:val="4A5C6A"/>
          <w:sz w:val="16"/>
          <w:szCs w:val="16"/>
        </w:rPr>
        <w:t xml:space="preserve">Figure 4 — One canonical failure resolving into six framework obligations</w:t>
      </w:r>
    </w:p>
    <w:p>
      <w:pPr>
        <w:spacing w:after="140" w:line="276"/>
      </w:pPr>
      <w:r>
        <w:rPr>
          <w:color w:val="1A1A1A"/>
          <w:sz w:val="21"/>
          <w:szCs w:val="21"/>
        </w:rPr>
        <w:t xml:space="preserve">Mappings resolve through the canonical framework and no further: source control to canonical, canonical to target. Transitive chaining beyond two hops is refused, because a mapping three steps removed from the evidence is a guess dressed as a control assertion.</w:t>
      </w:r>
    </w:p>
    <w:p>
      <w:pPr>
        <w:spacing w:after="140" w:line="276"/>
      </w:pPr>
      <w:r>
        <w:rPr>
          <w:color w:val="1A1A1A"/>
          <w:sz w:val="21"/>
          <w:szCs w:val="21"/>
        </w:rPr>
        <w:t xml:space="preserve">The canonical framework is configurable in GRC Engine Settings and ships as NCC — Neotec Canonical Controls, 62 controls across 16 families. Organisations licensing the Secure Controls Framework can import it and designate it canonical instead; nothing else in the application changes.</w:t>
      </w:r>
    </w:p>
    <w:p>
      <w:pPr>
        <w:pStyle w:val="Heading3"/>
        <w:spacing w:after="110" w:before="240"/>
      </w:pPr>
      <w:r>
        <w:rPr>
          <w:b/>
          <w:bCs/>
          <w:color w:val="1B6E7D"/>
          <w:sz w:val="22"/>
          <w:szCs w:val="22"/>
        </w:rPr>
        <w:t xml:space="preserve">Conflicting requirements</w:t>
      </w:r>
    </w:p>
    <w:p>
      <w:pPr>
        <w:spacing w:after="140" w:line="276"/>
      </w:pPr>
      <w:r>
        <w:rPr>
          <w:color w:val="1A1A1A"/>
          <w:sz w:val="21"/>
          <w:szCs w:val="21"/>
        </w:rPr>
        <w:t xml:space="preserve">The Conflicting Requirements action on any control surfaces mapped controls whose severity or automation posture disagree across frameworks, and names which obligation binds. Where two frameworks disagree, the stricter is the one the organisation actually has to meet — the tool makes that explicit rather than averaging it away.</w:t>
      </w:r>
    </w:p>
    <w:p>
      <w:pPr>
        <w:pStyle w:val="Heading2"/>
        <w:spacing w:after="140" w:before="320"/>
      </w:pPr>
      <w:r>
        <w:rPr>
          <w:b/>
          <w:bCs/>
          <w:color w:val="12314F"/>
          <w:sz w:val="26"/>
          <w:szCs w:val="26"/>
        </w:rPr>
        <w:t xml:space="preserve">7.2  Running an assessment</w:t>
      </w:r>
    </w:p>
    <w:p>
      <w:pPr>
        <w:pStyle w:val="ListParagraph"/>
        <w:numPr>
          <w:ilvl w:val="0"/>
          <w:numId w:val="4"/>
        </w:numPr>
        <w:spacing w:after="110" w:line="264"/>
      </w:pPr>
      <w:r>
        <w:rPr>
          <w:sz w:val="21"/>
          <w:szCs w:val="21"/>
        </w:rPr>
        <w:t xml:space="preserve">Create a GRC Gap Assessment and name the period it covers.</w:t>
      </w:r>
    </w:p>
    <w:p>
      <w:pPr>
        <w:pStyle w:val="ListParagraph"/>
        <w:numPr>
          <w:ilvl w:val="0"/>
          <w:numId w:val="4"/>
        </w:numPr>
        <w:spacing w:after="110" w:line="264"/>
      </w:pPr>
      <w:r>
        <w:rPr>
          <w:sz w:val="21"/>
          <w:szCs w:val="21"/>
        </w:rPr>
        <w:t xml:space="preserve">Add one or more frameworks to the scope table. Multi-framework assessments are the normal case.</w:t>
      </w:r>
    </w:p>
    <w:p>
      <w:pPr>
        <w:pStyle w:val="ListParagraph"/>
        <w:numPr>
          <w:ilvl w:val="0"/>
          <w:numId w:val="4"/>
        </w:numPr>
        <w:spacing w:after="110" w:line="264"/>
      </w:pPr>
      <w:r>
        <w:rPr>
          <w:sz w:val="21"/>
          <w:szCs w:val="21"/>
        </w:rPr>
        <w:t xml:space="preserve">Optionally restrict the source connectors considered.</w:t>
      </w:r>
    </w:p>
    <w:p>
      <w:pPr>
        <w:pStyle w:val="ListParagraph"/>
        <w:numPr>
          <w:ilvl w:val="0"/>
          <w:numId w:val="4"/>
        </w:numPr>
        <w:spacing w:after="110" w:line="264"/>
      </w:pPr>
      <w:r>
        <w:rPr>
          <w:sz w:val="21"/>
          <w:szCs w:val="21"/>
        </w:rPr>
        <w:t xml:space="preserve">Click Run Assessment. Execution is queued.</w:t>
      </w:r>
    </w:p>
    <w:p>
      <w:pPr>
        <w:pStyle w:val="ListParagraph"/>
        <w:numPr>
          <w:ilvl w:val="0"/>
          <w:numId w:val="4"/>
        </w:numPr>
        <w:spacing w:after="110" w:line="264"/>
      </w:pPr>
      <w:r>
        <w:rPr>
          <w:sz w:val="21"/>
          <w:szCs w:val="21"/>
        </w:rPr>
        <w:t xml:space="preserve">Review the results table and the scorecard, then submit to freeze the assessment as an audit record.</w:t>
      </w:r>
    </w:p>
    <w:p>
      <w:pPr>
        <w:spacing w:after="140" w:line="276"/>
      </w:pPr>
      <w:r>
        <w:rPr>
          <w:color w:val="1A1A1A"/>
          <w:sz w:val="21"/>
          <w:szCs w:val="21"/>
        </w:rPr>
        <w:t xml:space="preserve">Submission matters beyond workflow tidiness: the retention purge will not delete evidence artifacts that sit behind a submitted assessment. Submitting is what makes the evidence permanent.</w:t>
      </w:r>
    </w:p>
    <w:p>
      <w:pPr>
        <w:pStyle w:val="Heading2"/>
        <w:spacing w:after="140" w:before="320"/>
      </w:pPr>
      <w:r>
        <w:rPr>
          <w:b/>
          <w:bCs/>
          <w:color w:val="12314F"/>
          <w:sz w:val="26"/>
          <w:szCs w:val="26"/>
        </w:rPr>
        <w:t xml:space="preserve">7.3  How controls are scored</w:t>
      </w:r>
    </w:p>
    <w:p>
      <w:pPr>
        <w:spacing w:after="80" w:before="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90850"/>
                    </a:xfrm>
                    <a:prstGeom prst="rect">
                      <a:avLst/>
                    </a:prstGeom>
                  </pic:spPr>
                </pic:pic>
              </a:graphicData>
            </a:graphic>
          </wp:inline>
        </w:drawing>
      </w:r>
    </w:p>
    <w:p>
      <w:pPr>
        <w:spacing w:after="260"/>
        <w:jc w:val="center"/>
      </w:pPr>
      <w:r>
        <w:rPr>
          <w:i/>
          <w:iCs/>
          <w:color w:val="4A5C6A"/>
          <w:sz w:val="16"/>
          <w:szCs w:val="16"/>
        </w:rPr>
        <w:t xml:space="preserve">Figure 5 — Scoring path for a single control, and the two percentages reported</w:t>
      </w:r>
    </w:p>
    <w:p>
      <w:pPr>
        <w:spacing w:after="140" w:line="276"/>
      </w:pPr>
      <w:r>
        <w:rPr>
          <w:color w:val="1A1A1A"/>
          <w:sz w:val="21"/>
          <w:szCs w:val="21"/>
        </w:rPr>
        <w:t xml:space="preserve">Every in-scope control begins as not_covered. Evidence promotes it. That default is the single most important decision in the scoring model.</w:t>
      </w:r>
    </w:p>
    <w:p>
      <w:pPr>
        <w:spacing w:after="140" w:line="276"/>
      </w:pPr>
      <w:r>
        <w:rPr>
          <w:color w:val="1A1A1A"/>
          <w:sz w:val="21"/>
          <w:szCs w:val="21"/>
        </w:rPr>
        <w:t xml:space="preserve">The common failure of automated compliance tooling is to report absence of evidence as absence of a problem — a control nothing tested comes back clean, and the dashboard is greener than the organisation. Starting at not_covered inverts that. A control with no evidence is a gap until something demonstrates otherwise.</w:t>
      </w:r>
    </w:p>
    <w:p>
      <w:pPr>
        <w:pStyle w:val="Heading3"/>
        <w:spacing w:after="110" w:before="240"/>
      </w:pPr>
      <w:r>
        <w:rPr>
          <w:b/>
          <w:bCs/>
          <w:color w:val="1B6E7D"/>
          <w:sz w:val="22"/>
          <w:szCs w:val="22"/>
        </w:rPr>
        <w:t xml:space="preserve">Worst-wins within a control</w:t>
      </w:r>
    </w:p>
    <w:p>
      <w:pPr>
        <w:spacing w:after="140" w:line="276"/>
      </w:pPr>
      <w:r>
        <w:rPr>
          <w:color w:val="1A1A1A"/>
          <w:sz w:val="21"/>
          <w:szCs w:val="21"/>
        </w:rPr>
        <w:t xml:space="preserve">One failing evaluation fails the control, however many resources passed. Ninety-nine encrypted buckets and one unencrypted bucket is a failing encryption control, because the unencrypted one is the one that will appear in the incident report.</w:t>
      </w:r>
    </w:p>
    <w:p>
      <w:pPr>
        <w:pStyle w:val="Heading3"/>
        <w:spacing w:after="110" w:before="240"/>
      </w:pPr>
      <w:r>
        <w:rPr>
          <w:b/>
          <w:bCs/>
          <w:color w:val="1B6E7D"/>
          <w:sz w:val="22"/>
          <w:szCs w:val="22"/>
        </w:rPr>
        <w:t xml:space="preserve">Two percentages, reported separately</w:t>
      </w:r>
    </w:p>
    <w:tbl>
      <w:tblPr>
        <w:tblW w:type="dxa" w:w="9360"/>
        <w:tblBorders>
          <w:top w:val="single" w:color="C9D0D6" w:sz="4"/>
          <w:left w:val="none"/>
          <w:bottom w:val="single" w:color="C9D0D6" w:sz="4"/>
          <w:right w:val="none"/>
          <w:insideH w:val="single" w:color="DDE2E6" w:sz="2"/>
          <w:insideV w:val="none"/>
        </w:tblBorders>
      </w:tblPr>
      <w:tblGrid>
        <w:gridCol w:w="2246"/>
        <w:gridCol w:w="2434"/>
        <w:gridCol w:w="4680"/>
      </w:tblGrid>
      <w:tr>
        <w:trPr>
          <w:tblHeader/>
        </w:trPr>
        <w:tc>
          <w:tcPr>
            <w:tcW w:type="dxa" w:w="2246"/>
            <w:shd w:fill="12314F" w:val="clear"/>
            <w:tcMar>
              <w:top w:type="dxa" w:w="90"/>
              <w:left w:type="dxa" w:w="120"/>
              <w:bottom w:type="dxa" w:w="90"/>
              <w:right w:type="dxa" w:w="120"/>
            </w:tcMar>
            <w:vAlign w:val="center"/>
          </w:tcPr>
          <w:p>
            <w:pPr>
              <w:spacing w:after="0" w:line="258"/>
            </w:pPr>
            <w:r>
              <w:rPr>
                <w:b/>
                <w:bCs/>
                <w:color w:val="FFFFFF"/>
                <w:sz w:val="18"/>
                <w:szCs w:val="18"/>
              </w:rPr>
              <w:t xml:space="preserve">Metric</w:t>
            </w:r>
          </w:p>
        </w:tc>
        <w:tc>
          <w:tcPr>
            <w:tcW w:type="dxa" w:w="2434"/>
            <w:shd w:fill="12314F" w:val="clear"/>
            <w:tcMar>
              <w:top w:type="dxa" w:w="90"/>
              <w:left w:type="dxa" w:w="120"/>
              <w:bottom w:type="dxa" w:w="90"/>
              <w:right w:type="dxa" w:w="120"/>
            </w:tcMar>
            <w:vAlign w:val="center"/>
          </w:tcPr>
          <w:p>
            <w:pPr>
              <w:spacing w:after="0" w:line="258"/>
            </w:pPr>
            <w:r>
              <w:rPr>
                <w:b/>
                <w:bCs/>
                <w:color w:val="FFFFFF"/>
                <w:sz w:val="18"/>
                <w:szCs w:val="18"/>
              </w:rPr>
              <w:t xml:space="preserve">Formula</w:t>
            </w:r>
          </w:p>
        </w:tc>
        <w:tc>
          <w:tcPr>
            <w:tcW w:type="dxa" w:w="4680"/>
            <w:shd w:fill="12314F" w:val="clear"/>
            <w:tcMar>
              <w:top w:type="dxa" w:w="90"/>
              <w:left w:type="dxa" w:w="120"/>
              <w:bottom w:type="dxa" w:w="90"/>
              <w:right w:type="dxa" w:w="120"/>
            </w:tcMar>
            <w:vAlign w:val="center"/>
          </w:tcPr>
          <w:p>
            <w:pPr>
              <w:spacing w:after="0" w:line="258"/>
            </w:pPr>
            <w:r>
              <w:rPr>
                <w:b/>
                <w:bCs/>
                <w:color w:val="FFFFFF"/>
                <w:sz w:val="18"/>
                <w:szCs w:val="18"/>
              </w:rPr>
              <w:t xml:space="preserve">Answers</w:t>
            </w:r>
          </w:p>
        </w:tc>
      </w:tr>
      <w:tr>
        <w:tc>
          <w:tcPr>
            <w:tcW w:type="dxa" w:w="2246"/>
            <w:shd w:fill="FFFFFF" w:val="clear"/>
            <w:tcMar>
              <w:top w:type="dxa" w:w="90"/>
              <w:left w:type="dxa" w:w="120"/>
              <w:bottom w:type="dxa" w:w="90"/>
              <w:right w:type="dxa" w:w="120"/>
            </w:tcMar>
            <w:vAlign w:val="center"/>
          </w:tcPr>
          <w:p>
            <w:pPr>
              <w:spacing w:after="0" w:line="258"/>
            </w:pPr>
            <w:r>
              <w:rPr>
                <w:color w:val="1A1A1A"/>
                <w:sz w:val="19"/>
                <w:szCs w:val="19"/>
              </w:rPr>
              <w:t xml:space="preserve">Automated coverage</w:t>
            </w:r>
          </w:p>
        </w:tc>
        <w:tc>
          <w:tcPr>
            <w:tcW w:type="dxa" w:w="2434"/>
            <w:shd w:fill="FFFFFF" w:val="clear"/>
            <w:tcMar>
              <w:top w:type="dxa" w:w="90"/>
              <w:left w:type="dxa" w:w="120"/>
              <w:bottom w:type="dxa" w:w="90"/>
              <w:right w:type="dxa" w:w="120"/>
            </w:tcMar>
            <w:vAlign w:val="center"/>
          </w:tcPr>
          <w:p>
            <w:pPr>
              <w:spacing w:after="0" w:line="258"/>
            </w:pPr>
            <w:r>
              <w:rPr>
                <w:color w:val="1A1A1A"/>
                <w:sz w:val="19"/>
                <w:szCs w:val="19"/>
              </w:rPr>
              <w:t xml:space="preserve">assessed ÷ in-scope</w:t>
            </w:r>
          </w:p>
        </w:tc>
        <w:tc>
          <w:tcPr>
            <w:tcW w:type="dxa" w:w="4680"/>
            <w:shd w:fill="FFFFFF" w:val="clear"/>
            <w:tcMar>
              <w:top w:type="dxa" w:w="90"/>
              <w:left w:type="dxa" w:w="120"/>
              <w:bottom w:type="dxa" w:w="90"/>
              <w:right w:type="dxa" w:w="120"/>
            </w:tcMar>
            <w:vAlign w:val="center"/>
          </w:tcPr>
          <w:p>
            <w:pPr>
              <w:spacing w:after="0" w:line="258"/>
            </w:pPr>
            <w:r>
              <w:rPr>
                <w:color w:val="1A1A1A"/>
                <w:sz w:val="19"/>
                <w:szCs w:val="19"/>
              </w:rPr>
              <w:t xml:space="preserve">How much of the framework did we actually test?</w:t>
            </w:r>
          </w:p>
        </w:tc>
      </w:tr>
      <w:tr>
        <w:tc>
          <w:tcPr>
            <w:tcW w:type="dxa" w:w="2246"/>
            <w:shd w:fill="F7F6F3" w:val="clear"/>
            <w:tcMar>
              <w:top w:type="dxa" w:w="90"/>
              <w:left w:type="dxa" w:w="120"/>
              <w:bottom w:type="dxa" w:w="90"/>
              <w:right w:type="dxa" w:w="120"/>
            </w:tcMar>
            <w:vAlign w:val="center"/>
          </w:tcPr>
          <w:p>
            <w:pPr>
              <w:spacing w:after="0" w:line="258"/>
            </w:pPr>
            <w:r>
              <w:rPr>
                <w:color w:val="1A1A1A"/>
                <w:sz w:val="19"/>
                <w:szCs w:val="19"/>
              </w:rPr>
              <w:t xml:space="preserve">Compliance</w:t>
            </w:r>
          </w:p>
        </w:tc>
        <w:tc>
          <w:tcPr>
            <w:tcW w:type="dxa" w:w="2434"/>
            <w:shd w:fill="F7F6F3" w:val="clear"/>
            <w:tcMar>
              <w:top w:type="dxa" w:w="90"/>
              <w:left w:type="dxa" w:w="120"/>
              <w:bottom w:type="dxa" w:w="90"/>
              <w:right w:type="dxa" w:w="120"/>
            </w:tcMar>
            <w:vAlign w:val="center"/>
          </w:tcPr>
          <w:p>
            <w:pPr>
              <w:spacing w:after="0" w:line="258"/>
            </w:pPr>
            <w:r>
              <w:rPr>
                <w:color w:val="1A1A1A"/>
                <w:sz w:val="19"/>
                <w:szCs w:val="19"/>
              </w:rPr>
              <w:t xml:space="preserve">passed ÷ assessed</w:t>
            </w:r>
          </w:p>
        </w:tc>
        <w:tc>
          <w:tcPr>
            <w:tcW w:type="dxa" w:w="4680"/>
            <w:shd w:fill="F7F6F3" w:val="clear"/>
            <w:tcMar>
              <w:top w:type="dxa" w:w="90"/>
              <w:left w:type="dxa" w:w="120"/>
              <w:bottom w:type="dxa" w:w="90"/>
              <w:right w:type="dxa" w:w="120"/>
            </w:tcMar>
            <w:vAlign w:val="center"/>
          </w:tcPr>
          <w:p>
            <w:pPr>
              <w:spacing w:after="0" w:line="258"/>
            </w:pPr>
            <w:r>
              <w:rPr>
                <w:color w:val="1A1A1A"/>
                <w:sz w:val="19"/>
                <w:szCs w:val="19"/>
              </w:rPr>
              <w:t xml:space="preserve">Of what we tested, how much passed?</w:t>
            </w:r>
          </w:p>
        </w:tc>
      </w:tr>
    </w:tbl>
    <w:p>
      <w:pPr>
        <w:spacing w:after="140" w:line="276"/>
      </w:pPr>
      <w:r>
        <w:rPr>
          <w:color w:val="1A1A1A"/>
          <w:sz w:val="21"/>
          <w:szCs w:val="21"/>
        </w:rPr>
        <w:t xml:space="preserve">Neither can mask the other. A single blended figure would let a narrow, clean scope produce a reassuring number: 100% compliance across a 4% coverage means almost nothing was examined. Both figures appear on the scorecard together, and the second is meaningless without the first.</w:t>
      </w:r>
    </w:p>
    <w:p>
      <w:pPr>
        <w:pStyle w:val="Heading3"/>
        <w:spacing w:after="110" w:before="240"/>
      </w:pPr>
      <w:r>
        <w:rPr>
          <w:b/>
          <w:bCs/>
          <w:color w:val="1B6E7D"/>
          <w:sz w:val="22"/>
          <w:szCs w:val="22"/>
        </w:rPr>
        <w:t xml:space="preserve">Staleness</w:t>
      </w:r>
    </w:p>
    <w:p>
      <w:pPr>
        <w:spacing w:after="140" w:line="276"/>
      </w:pPr>
      <w:r>
        <w:rPr>
          <w:color w:val="1A1A1A"/>
          <w:sz w:val="21"/>
          <w:szCs w:val="21"/>
        </w:rPr>
        <w:t xml:space="preserve">Findings older than their originating connector's cache TTL are excluded from scoring and reported as stale, unless Include Stale Findings is ticked on the assessment. Evidence has a shelf life; a passing result from eight months ago describes a system that may no longer exist.</w:t>
      </w:r>
    </w:p>
    <w:p>
      <w:pPr>
        <w:pStyle w:val="Heading2"/>
        <w:spacing w:after="140" w:before="320"/>
      </w:pPr>
      <w:r>
        <w:rPr>
          <w:b/>
          <w:bCs/>
          <w:color w:val="12314F"/>
          <w:sz w:val="26"/>
          <w:szCs w:val="26"/>
        </w:rPr>
        <w:t xml:space="preserve">7.4  Multi-framework optimisation</w:t>
      </w:r>
    </w:p>
    <w:p>
      <w:pPr>
        <w:spacing w:after="140" w:line="276"/>
      </w:pPr>
      <w:r>
        <w:rPr>
          <w:color w:val="1A1A1A"/>
          <w:sz w:val="21"/>
          <w:szCs w:val="21"/>
        </w:rPr>
        <w:t xml:space="preserve">The Multi Framework Optimisation report ranks canonical controls by return on remediation effort — weighted risk closed per hour of work, accounting for how many in-scope frameworks each control satisfies.</w:t>
      </w:r>
    </w:p>
    <w:p>
      <w:pPr>
        <w:spacing w:after="140" w:line="276"/>
      </w:pPr>
      <w:r>
        <w:rPr>
          <w:color w:val="1A1A1A"/>
          <w:sz w:val="21"/>
          <w:szCs w:val="21"/>
        </w:rPr>
        <w:t xml:space="preserve">Its practical use is sequencing. A control mapping to six frameworks at four hours of effort outranks one mapping to a single framework at the same cost, and the report says so with a number rather than leaving it to whoever is loudest in the remediation meeting.</w:t>
      </w:r>
    </w:p>
    <w:p>
      <w:pPr>
        <w:pStyle w:val="Heading1"/>
        <w:pageBreakBefore/>
        <w:pBdr>
          <w:bottom w:val="single" w:color="1B6E7D" w:sz="10" w:space="8"/>
        </w:pBdr>
        <w:spacing w:after="240" w:before="0"/>
      </w:pPr>
      <w:r>
        <w:rPr>
          <w:b/>
          <w:bCs/>
          <w:color w:val="12314F"/>
          <w:sz w:val="36"/>
          <w:szCs w:val="36"/>
        </w:rPr>
        <w:t xml:space="preserve">8  Operations</w:t>
      </w:r>
    </w:p>
    <w:p>
      <w:pPr>
        <w:pStyle w:val="Heading2"/>
        <w:spacing w:after="140" w:before="320"/>
      </w:pPr>
      <w:r>
        <w:rPr>
          <w:b/>
          <w:bCs/>
          <w:color w:val="12314F"/>
          <w:sz w:val="26"/>
          <w:szCs w:val="26"/>
        </w:rPr>
        <w:t xml:space="preserve">8.1  Scheduled jobs</w:t>
      </w:r>
    </w:p>
    <w:tbl>
      <w:tblPr>
        <w:tblW w:type="dxa" w:w="9360"/>
        <w:tblBorders>
          <w:top w:val="single" w:color="C9D0D6" w:sz="4"/>
          <w:left w:val="none"/>
          <w:bottom w:val="single" w:color="C9D0D6" w:sz="4"/>
          <w:right w:val="none"/>
          <w:insideH w:val="single" w:color="DDE2E6" w:sz="2"/>
          <w:insideV w:val="none"/>
        </w:tblBorders>
      </w:tblPr>
      <w:tblGrid>
        <w:gridCol w:w="1498"/>
        <w:gridCol w:w="2621"/>
        <w:gridCol w:w="5241"/>
      </w:tblGrid>
      <w:tr>
        <w:trPr>
          <w:tblHeader/>
        </w:trPr>
        <w:tc>
          <w:tcPr>
            <w:tcW w:type="dxa" w:w="1498"/>
            <w:shd w:fill="12314F" w:val="clear"/>
            <w:tcMar>
              <w:top w:type="dxa" w:w="90"/>
              <w:left w:type="dxa" w:w="120"/>
              <w:bottom w:type="dxa" w:w="90"/>
              <w:right w:type="dxa" w:w="120"/>
            </w:tcMar>
            <w:vAlign w:val="center"/>
          </w:tcPr>
          <w:p>
            <w:pPr>
              <w:spacing w:after="0" w:line="258"/>
            </w:pPr>
            <w:r>
              <w:rPr>
                <w:b/>
                <w:bCs/>
                <w:color w:val="FFFFFF"/>
                <w:sz w:val="18"/>
                <w:szCs w:val="18"/>
              </w:rPr>
              <w:t xml:space="preserve">Frequency</w:t>
            </w:r>
          </w:p>
        </w:tc>
        <w:tc>
          <w:tcPr>
            <w:tcW w:type="dxa" w:w="2621"/>
            <w:shd w:fill="12314F" w:val="clear"/>
            <w:tcMar>
              <w:top w:type="dxa" w:w="90"/>
              <w:left w:type="dxa" w:w="120"/>
              <w:bottom w:type="dxa" w:w="90"/>
              <w:right w:type="dxa" w:w="120"/>
            </w:tcMar>
            <w:vAlign w:val="center"/>
          </w:tcPr>
          <w:p>
            <w:pPr>
              <w:spacing w:after="0" w:line="258"/>
            </w:pPr>
            <w:r>
              <w:rPr>
                <w:b/>
                <w:bCs/>
                <w:color w:val="FFFFFF"/>
                <w:sz w:val="18"/>
                <w:szCs w:val="18"/>
              </w:rPr>
              <w:t xml:space="preserve">Job</w:t>
            </w:r>
          </w:p>
        </w:tc>
        <w:tc>
          <w:tcPr>
            <w:tcW w:type="dxa" w:w="5241"/>
            <w:shd w:fill="12314F" w:val="clear"/>
            <w:tcMar>
              <w:top w:type="dxa" w:w="90"/>
              <w:left w:type="dxa" w:w="120"/>
              <w:bottom w:type="dxa" w:w="90"/>
              <w:right w:type="dxa" w:w="120"/>
            </w:tcMar>
            <w:vAlign w:val="center"/>
          </w:tcPr>
          <w:p>
            <w:pPr>
              <w:spacing w:after="0" w:line="258"/>
            </w:pPr>
            <w:r>
              <w:rPr>
                <w:b/>
                <w:bCs/>
                <w:color w:val="FFFFFF"/>
                <w:sz w:val="18"/>
                <w:szCs w:val="18"/>
              </w:rPr>
              <w:t xml:space="preserve">Behaviour</w:t>
            </w:r>
          </w:p>
        </w:tc>
      </w:tr>
      <w:tr>
        <w:tc>
          <w:tcPr>
            <w:tcW w:type="dxa" w:w="1498"/>
            <w:shd w:fill="FFFFFF" w:val="clear"/>
            <w:tcMar>
              <w:top w:type="dxa" w:w="90"/>
              <w:left w:type="dxa" w:w="120"/>
              <w:bottom w:type="dxa" w:w="90"/>
              <w:right w:type="dxa" w:w="120"/>
            </w:tcMar>
            <w:vAlign w:val="center"/>
          </w:tcPr>
          <w:p>
            <w:pPr>
              <w:spacing w:after="0" w:line="258"/>
            </w:pPr>
            <w:r>
              <w:rPr>
                <w:color w:val="1A1A1A"/>
                <w:sz w:val="19"/>
                <w:szCs w:val="19"/>
              </w:rPr>
              <w:t xml:space="preserve">Hourly</w:t>
            </w:r>
          </w:p>
        </w:tc>
        <w:tc>
          <w:tcPr>
            <w:tcW w:type="dxa" w:w="2621"/>
            <w:shd w:fill="FFFFFF" w:val="clear"/>
            <w:tcMar>
              <w:top w:type="dxa" w:w="90"/>
              <w:left w:type="dxa" w:w="120"/>
              <w:bottom w:type="dxa" w:w="90"/>
              <w:right w:type="dxa" w:w="120"/>
            </w:tcMar>
            <w:vAlign w:val="center"/>
          </w:tcPr>
          <w:p>
            <w:pPr>
              <w:spacing w:after="0" w:line="258"/>
            </w:pPr>
            <w:r>
              <w:rPr>
                <w:color w:val="1A1A1A"/>
                <w:sz w:val="19"/>
                <w:szCs w:val="19"/>
              </w:rPr>
              <w:t xml:space="preserve">Queue due evidence sets</w:t>
            </w:r>
          </w:p>
        </w:tc>
        <w:tc>
          <w:tcPr>
            <w:tcW w:type="dxa" w:w="5241"/>
            <w:shd w:fill="FFFFFF" w:val="clear"/>
            <w:tcMar>
              <w:top w:type="dxa" w:w="90"/>
              <w:left w:type="dxa" w:w="120"/>
              <w:bottom w:type="dxa" w:w="90"/>
              <w:right w:type="dxa" w:w="120"/>
            </w:tcMar>
            <w:vAlign w:val="center"/>
          </w:tcPr>
          <w:p>
            <w:pPr>
              <w:spacing w:after="0" w:line="258"/>
            </w:pPr>
            <w:r>
              <w:rPr>
                <w:color w:val="1A1A1A"/>
                <w:sz w:val="19"/>
                <w:szCs w:val="19"/>
              </w:rPr>
              <w:t xml:space="preserve">Skips any set with a run still in flight, so a slow collection never stacks</w:t>
            </w:r>
          </w:p>
        </w:tc>
      </w:tr>
      <w:tr>
        <w:tc>
          <w:tcPr>
            <w:tcW w:type="dxa" w:w="1498"/>
            <w:shd w:fill="F7F6F3" w:val="clear"/>
            <w:tcMar>
              <w:top w:type="dxa" w:w="90"/>
              <w:left w:type="dxa" w:w="120"/>
              <w:bottom w:type="dxa" w:w="90"/>
              <w:right w:type="dxa" w:w="120"/>
            </w:tcMar>
            <w:vAlign w:val="center"/>
          </w:tcPr>
          <w:p>
            <w:pPr>
              <w:spacing w:after="0" w:line="258"/>
            </w:pPr>
            <w:r>
              <w:rPr>
                <w:color w:val="1A1A1A"/>
                <w:sz w:val="19"/>
                <w:szCs w:val="19"/>
              </w:rPr>
              <w:t xml:space="preserve">Daily</w:t>
            </w:r>
          </w:p>
        </w:tc>
        <w:tc>
          <w:tcPr>
            <w:tcW w:type="dxa" w:w="2621"/>
            <w:shd w:fill="F7F6F3" w:val="clear"/>
            <w:tcMar>
              <w:top w:type="dxa" w:w="90"/>
              <w:left w:type="dxa" w:w="120"/>
              <w:bottom w:type="dxa" w:w="90"/>
              <w:right w:type="dxa" w:w="120"/>
            </w:tcMar>
            <w:vAlign w:val="center"/>
          </w:tcPr>
          <w:p>
            <w:pPr>
              <w:spacing w:after="0" w:line="258"/>
            </w:pPr>
            <w:r>
              <w:rPr>
                <w:color w:val="1A1A1A"/>
                <w:sz w:val="19"/>
                <w:szCs w:val="19"/>
              </w:rPr>
              <w:t xml:space="preserve">Expire exceptions</w:t>
            </w:r>
          </w:p>
        </w:tc>
        <w:tc>
          <w:tcPr>
            <w:tcW w:type="dxa" w:w="5241"/>
            <w:shd w:fill="F7F6F3" w:val="clear"/>
            <w:tcMar>
              <w:top w:type="dxa" w:w="90"/>
              <w:left w:type="dxa" w:w="120"/>
              <w:bottom w:type="dxa" w:w="90"/>
              <w:right w:type="dxa" w:w="120"/>
            </w:tcMar>
            <w:vAlign w:val="center"/>
          </w:tcPr>
          <w:p>
            <w:pPr>
              <w:spacing w:after="0" w:line="258"/>
            </w:pPr>
            <w:r>
              <w:rPr>
                <w:color w:val="1A1A1A"/>
                <w:sz w:val="19"/>
                <w:szCs w:val="19"/>
              </w:rPr>
              <w:t xml:space="preserve">Exceptions past their expiry date are closed automatically</w:t>
            </w:r>
          </w:p>
        </w:tc>
      </w:tr>
      <w:tr>
        <w:tc>
          <w:tcPr>
            <w:tcW w:type="dxa" w:w="1498"/>
            <w:shd w:fill="FFFFFF" w:val="clear"/>
            <w:tcMar>
              <w:top w:type="dxa" w:w="90"/>
              <w:left w:type="dxa" w:w="120"/>
              <w:bottom w:type="dxa" w:w="90"/>
              <w:right w:type="dxa" w:w="120"/>
            </w:tcMar>
            <w:vAlign w:val="center"/>
          </w:tcPr>
          <w:p>
            <w:pPr>
              <w:spacing w:after="0" w:line="258"/>
            </w:pPr>
            <w:r>
              <w:rPr>
                <w:color w:val="1A1A1A"/>
                <w:sz w:val="19"/>
                <w:szCs w:val="19"/>
              </w:rPr>
              <w:t xml:space="preserve">Daily</w:t>
            </w:r>
          </w:p>
        </w:tc>
        <w:tc>
          <w:tcPr>
            <w:tcW w:type="dxa" w:w="2621"/>
            <w:shd w:fill="FFFFFF" w:val="clear"/>
            <w:tcMar>
              <w:top w:type="dxa" w:w="90"/>
              <w:left w:type="dxa" w:w="120"/>
              <w:bottom w:type="dxa" w:w="90"/>
              <w:right w:type="dxa" w:w="120"/>
            </w:tcMar>
            <w:vAlign w:val="center"/>
          </w:tcPr>
          <w:p>
            <w:pPr>
              <w:spacing w:after="0" w:line="258"/>
            </w:pPr>
            <w:r>
              <w:rPr>
                <w:color w:val="1A1A1A"/>
                <w:sz w:val="19"/>
                <w:szCs w:val="19"/>
              </w:rPr>
              <w:t xml:space="preserve">Flag overdue reviews</w:t>
            </w:r>
          </w:p>
        </w:tc>
        <w:tc>
          <w:tcPr>
            <w:tcW w:type="dxa" w:w="5241"/>
            <w:shd w:fill="FFFFFF" w:val="clear"/>
            <w:tcMar>
              <w:top w:type="dxa" w:w="90"/>
              <w:left w:type="dxa" w:w="120"/>
              <w:bottom w:type="dxa" w:w="90"/>
              <w:right w:type="dxa" w:w="120"/>
            </w:tcMar>
            <w:vAlign w:val="center"/>
          </w:tcPr>
          <w:p>
            <w:pPr>
              <w:spacing w:after="0" w:line="258"/>
            </w:pPr>
            <w:r>
              <w:rPr>
                <w:color w:val="1A1A1A"/>
                <w:sz w:val="19"/>
                <w:szCs w:val="19"/>
              </w:rPr>
              <w:t xml:space="preserve">Owners notified of overdue risk, policy and vendor reviews</w:t>
            </w:r>
          </w:p>
        </w:tc>
      </w:tr>
      <w:tr>
        <w:tc>
          <w:tcPr>
            <w:tcW w:type="dxa" w:w="1498"/>
            <w:shd w:fill="F7F6F3" w:val="clear"/>
            <w:tcMar>
              <w:top w:type="dxa" w:w="90"/>
              <w:left w:type="dxa" w:w="120"/>
              <w:bottom w:type="dxa" w:w="90"/>
              <w:right w:type="dxa" w:w="120"/>
            </w:tcMar>
            <w:vAlign w:val="center"/>
          </w:tcPr>
          <w:p>
            <w:pPr>
              <w:spacing w:after="0" w:line="258"/>
            </w:pPr>
            <w:r>
              <w:rPr>
                <w:color w:val="1A1A1A"/>
                <w:sz w:val="19"/>
                <w:szCs w:val="19"/>
              </w:rPr>
              <w:t xml:space="preserve">Daily</w:t>
            </w:r>
          </w:p>
        </w:tc>
        <w:tc>
          <w:tcPr>
            <w:tcW w:type="dxa" w:w="2621"/>
            <w:shd w:fill="F7F6F3" w:val="clear"/>
            <w:tcMar>
              <w:top w:type="dxa" w:w="90"/>
              <w:left w:type="dxa" w:w="120"/>
              <w:bottom w:type="dxa" w:w="90"/>
              <w:right w:type="dxa" w:w="120"/>
            </w:tcMar>
            <w:vAlign w:val="center"/>
          </w:tcPr>
          <w:p>
            <w:pPr>
              <w:spacing w:after="0" w:line="258"/>
            </w:pPr>
            <w:r>
              <w:rPr>
                <w:color w:val="1A1A1A"/>
                <w:sz w:val="19"/>
                <w:szCs w:val="19"/>
              </w:rPr>
              <w:t xml:space="preserve">Snapshot metrics</w:t>
            </w:r>
          </w:p>
        </w:tc>
        <w:tc>
          <w:tcPr>
            <w:tcW w:type="dxa" w:w="5241"/>
            <w:shd w:fill="F7F6F3" w:val="clear"/>
            <w:tcMar>
              <w:top w:type="dxa" w:w="90"/>
              <w:left w:type="dxa" w:w="120"/>
              <w:bottom w:type="dxa" w:w="90"/>
              <w:right w:type="dxa" w:w="120"/>
            </w:tcMar>
            <w:vAlign w:val="center"/>
          </w:tcPr>
          <w:p>
            <w:pPr>
              <w:spacing w:after="0" w:line="258"/>
            </w:pPr>
            <w:r>
              <w:rPr>
                <w:color w:val="1A1A1A"/>
                <w:sz w:val="19"/>
                <w:szCs w:val="19"/>
              </w:rPr>
              <w:t xml:space="preserve">KPI and KRI values captured for trend reporting</w:t>
            </w:r>
          </w:p>
        </w:tc>
      </w:tr>
      <w:tr>
        <w:tc>
          <w:tcPr>
            <w:tcW w:type="dxa" w:w="1498"/>
            <w:shd w:fill="FFFFFF" w:val="clear"/>
            <w:tcMar>
              <w:top w:type="dxa" w:w="90"/>
              <w:left w:type="dxa" w:w="120"/>
              <w:bottom w:type="dxa" w:w="90"/>
              <w:right w:type="dxa" w:w="120"/>
            </w:tcMar>
            <w:vAlign w:val="center"/>
          </w:tcPr>
          <w:p>
            <w:pPr>
              <w:spacing w:after="0" w:line="258"/>
            </w:pPr>
            <w:r>
              <w:rPr>
                <w:color w:val="1A1A1A"/>
                <w:sz w:val="19"/>
                <w:szCs w:val="19"/>
              </w:rPr>
              <w:t xml:space="preserve">Daily</w:t>
            </w:r>
          </w:p>
        </w:tc>
        <w:tc>
          <w:tcPr>
            <w:tcW w:type="dxa" w:w="2621"/>
            <w:shd w:fill="FFFFFF" w:val="clear"/>
            <w:tcMar>
              <w:top w:type="dxa" w:w="90"/>
              <w:left w:type="dxa" w:w="120"/>
              <w:bottom w:type="dxa" w:w="90"/>
              <w:right w:type="dxa" w:w="120"/>
            </w:tcMar>
            <w:vAlign w:val="center"/>
          </w:tcPr>
          <w:p>
            <w:pPr>
              <w:spacing w:after="0" w:line="258"/>
            </w:pPr>
            <w:r>
              <w:rPr>
                <w:color w:val="1A1A1A"/>
                <w:sz w:val="19"/>
                <w:szCs w:val="19"/>
              </w:rPr>
              <w:t xml:space="preserve">Purge expired artifacts</w:t>
            </w:r>
          </w:p>
        </w:tc>
        <w:tc>
          <w:tcPr>
            <w:tcW w:type="dxa" w:w="5241"/>
            <w:shd w:fill="FFFFFF" w:val="clear"/>
            <w:tcMar>
              <w:top w:type="dxa" w:w="90"/>
              <w:left w:type="dxa" w:w="120"/>
              <w:bottom w:type="dxa" w:w="90"/>
              <w:right w:type="dxa" w:w="120"/>
            </w:tcMar>
            <w:vAlign w:val="center"/>
          </w:tcPr>
          <w:p>
            <w:pPr>
              <w:spacing w:after="0" w:line="258"/>
            </w:pPr>
            <w:r>
              <w:rPr>
                <w:color w:val="1A1A1A"/>
                <w:sz w:val="19"/>
                <w:szCs w:val="19"/>
              </w:rPr>
              <w:t xml:space="preserve">Retention enforced, protecting evidence behind submitted assessments</w:t>
            </w:r>
          </w:p>
        </w:tc>
      </w:tr>
    </w:tbl>
    <w:p>
      <w:pPr>
        <w:pStyle w:val="Heading2"/>
        <w:spacing w:after="140" w:before="320"/>
      </w:pPr>
      <w:r>
        <w:rPr>
          <w:b/>
          <w:bCs/>
          <w:color w:val="12314F"/>
          <w:sz w:val="26"/>
          <w:szCs w:val="26"/>
        </w:rPr>
        <w:t xml:space="preserve">8.2  Reports</w:t>
      </w:r>
    </w:p>
    <w:tbl>
      <w:tblPr>
        <w:tblW w:type="dxa" w:w="9360"/>
        <w:tblBorders>
          <w:top w:val="single" w:color="C9D0D6" w:sz="4"/>
          <w:left w:val="none"/>
          <w:bottom w:val="single" w:color="C9D0D6" w:sz="4"/>
          <w:right w:val="none"/>
          <w:insideH w:val="single" w:color="DDE2E6" w:sz="2"/>
          <w:insideV w:val="none"/>
        </w:tblBorders>
      </w:tblPr>
      <w:tblGrid>
        <w:gridCol w:w="2995"/>
        <w:gridCol w:w="6365"/>
      </w:tblGrid>
      <w:tr>
        <w:trPr>
          <w:tblHeader/>
        </w:trPr>
        <w:tc>
          <w:tcPr>
            <w:tcW w:type="dxa" w:w="2995"/>
            <w:shd w:fill="12314F" w:val="clear"/>
            <w:tcMar>
              <w:top w:type="dxa" w:w="90"/>
              <w:left w:type="dxa" w:w="120"/>
              <w:bottom w:type="dxa" w:w="90"/>
              <w:right w:type="dxa" w:w="120"/>
            </w:tcMar>
            <w:vAlign w:val="center"/>
          </w:tcPr>
          <w:p>
            <w:pPr>
              <w:spacing w:after="0" w:line="258"/>
            </w:pPr>
            <w:r>
              <w:rPr>
                <w:b/>
                <w:bCs/>
                <w:color w:val="FFFFFF"/>
                <w:sz w:val="18"/>
                <w:szCs w:val="18"/>
              </w:rPr>
              <w:t xml:space="preserve">Report</w:t>
            </w:r>
          </w:p>
        </w:tc>
        <w:tc>
          <w:tcPr>
            <w:tcW w:type="dxa" w:w="6365"/>
            <w:shd w:fill="12314F" w:val="clear"/>
            <w:tcMar>
              <w:top w:type="dxa" w:w="90"/>
              <w:left w:type="dxa" w:w="120"/>
              <w:bottom w:type="dxa" w:w="90"/>
              <w:right w:type="dxa" w:w="120"/>
            </w:tcMar>
            <w:vAlign w:val="center"/>
          </w:tcPr>
          <w:p>
            <w:pPr>
              <w:spacing w:after="0" w:line="258"/>
            </w:pPr>
            <w:r>
              <w:rPr>
                <w:b/>
                <w:bCs/>
                <w:color w:val="FFFFFF"/>
                <w:sz w:val="18"/>
                <w:szCs w:val="18"/>
              </w:rPr>
              <w:t xml:space="preserve">Answers</w:t>
            </w:r>
          </w:p>
        </w:tc>
      </w:tr>
      <w:tr>
        <w:tc>
          <w:tcPr>
            <w:tcW w:type="dxa" w:w="2995"/>
            <w:shd w:fill="FFFFFF" w:val="clear"/>
            <w:tcMar>
              <w:top w:type="dxa" w:w="90"/>
              <w:left w:type="dxa" w:w="120"/>
              <w:bottom w:type="dxa" w:w="90"/>
              <w:right w:type="dxa" w:w="120"/>
            </w:tcMar>
            <w:vAlign w:val="center"/>
          </w:tcPr>
          <w:p>
            <w:pPr>
              <w:spacing w:after="0" w:line="258"/>
            </w:pPr>
            <w:r>
              <w:rPr>
                <w:color w:val="1A1A1A"/>
                <w:sz w:val="19"/>
                <w:szCs w:val="19"/>
              </w:rPr>
              <w:t xml:space="preserve">Control Coverage Matrix</w:t>
            </w:r>
          </w:p>
        </w:tc>
        <w:tc>
          <w:tcPr>
            <w:tcW w:type="dxa" w:w="6365"/>
            <w:shd w:fill="FFFFFF" w:val="clear"/>
            <w:tcMar>
              <w:top w:type="dxa" w:w="90"/>
              <w:left w:type="dxa" w:w="120"/>
              <w:bottom w:type="dxa" w:w="90"/>
              <w:right w:type="dxa" w:w="120"/>
            </w:tcMar>
            <w:vAlign w:val="center"/>
          </w:tcPr>
          <w:p>
            <w:pPr>
              <w:spacing w:after="0" w:line="258"/>
            </w:pPr>
            <w:r>
              <w:rPr>
                <w:color w:val="1A1A1A"/>
                <w:sz w:val="19"/>
                <w:szCs w:val="19"/>
              </w:rPr>
              <w:t xml:space="preserve">Which controls can be evidenced automatically, and by which fetcher</w:t>
            </w:r>
          </w:p>
        </w:tc>
      </w:tr>
      <w:tr>
        <w:tc>
          <w:tcPr>
            <w:tcW w:type="dxa" w:w="2995"/>
            <w:shd w:fill="F7F6F3" w:val="clear"/>
            <w:tcMar>
              <w:top w:type="dxa" w:w="90"/>
              <w:left w:type="dxa" w:w="120"/>
              <w:bottom w:type="dxa" w:w="90"/>
              <w:right w:type="dxa" w:w="120"/>
            </w:tcMar>
            <w:vAlign w:val="center"/>
          </w:tcPr>
          <w:p>
            <w:pPr>
              <w:spacing w:after="0" w:line="258"/>
            </w:pPr>
            <w:r>
              <w:rPr>
                <w:color w:val="1A1A1A"/>
                <w:sz w:val="19"/>
                <w:szCs w:val="19"/>
              </w:rPr>
              <w:t xml:space="preserve">Findings by Control</w:t>
            </w:r>
          </w:p>
        </w:tc>
        <w:tc>
          <w:tcPr>
            <w:tcW w:type="dxa" w:w="6365"/>
            <w:shd w:fill="F7F6F3" w:val="clear"/>
            <w:tcMar>
              <w:top w:type="dxa" w:w="90"/>
              <w:left w:type="dxa" w:w="120"/>
              <w:bottom w:type="dxa" w:w="90"/>
              <w:right w:type="dxa" w:w="120"/>
            </w:tcMar>
            <w:vAlign w:val="center"/>
          </w:tcPr>
          <w:p>
            <w:pPr>
              <w:spacing w:after="0" w:line="258"/>
            </w:pPr>
            <w:r>
              <w:rPr>
                <w:color w:val="1A1A1A"/>
                <w:sz w:val="19"/>
                <w:szCs w:val="19"/>
              </w:rPr>
              <w:t xml:space="preserve">Open failures grouped by control, severity-ordered</w:t>
            </w:r>
          </w:p>
        </w:tc>
      </w:tr>
      <w:tr>
        <w:tc>
          <w:tcPr>
            <w:tcW w:type="dxa" w:w="2995"/>
            <w:shd w:fill="FFFFFF" w:val="clear"/>
            <w:tcMar>
              <w:top w:type="dxa" w:w="90"/>
              <w:left w:type="dxa" w:w="120"/>
              <w:bottom w:type="dxa" w:w="90"/>
              <w:right w:type="dxa" w:w="120"/>
            </w:tcMar>
            <w:vAlign w:val="center"/>
          </w:tcPr>
          <w:p>
            <w:pPr>
              <w:spacing w:after="0" w:line="258"/>
            </w:pPr>
            <w:r>
              <w:rPr>
                <w:color w:val="1A1A1A"/>
                <w:sz w:val="19"/>
                <w:szCs w:val="19"/>
              </w:rPr>
              <w:t xml:space="preserve">Evidence Freshness</w:t>
            </w:r>
          </w:p>
        </w:tc>
        <w:tc>
          <w:tcPr>
            <w:tcW w:type="dxa" w:w="6365"/>
            <w:shd w:fill="FFFFFF" w:val="clear"/>
            <w:tcMar>
              <w:top w:type="dxa" w:w="90"/>
              <w:left w:type="dxa" w:w="120"/>
              <w:bottom w:type="dxa" w:w="90"/>
              <w:right w:type="dxa" w:w="120"/>
            </w:tcMar>
            <w:vAlign w:val="center"/>
          </w:tcPr>
          <w:p>
            <w:pPr>
              <w:spacing w:after="0" w:line="258"/>
            </w:pPr>
            <w:r>
              <w:rPr>
                <w:color w:val="1A1A1A"/>
                <w:sz w:val="19"/>
                <w:szCs w:val="19"/>
              </w:rPr>
              <w:t xml:space="preserve">Last successful collection per fetcher against its TTL</w:t>
            </w:r>
          </w:p>
        </w:tc>
      </w:tr>
      <w:tr>
        <w:tc>
          <w:tcPr>
            <w:tcW w:type="dxa" w:w="2995"/>
            <w:shd w:fill="F7F6F3" w:val="clear"/>
            <w:tcMar>
              <w:top w:type="dxa" w:w="90"/>
              <w:left w:type="dxa" w:w="120"/>
              <w:bottom w:type="dxa" w:w="90"/>
              <w:right w:type="dxa" w:w="120"/>
            </w:tcMar>
            <w:vAlign w:val="center"/>
          </w:tcPr>
          <w:p>
            <w:pPr>
              <w:spacing w:after="0" w:line="258"/>
            </w:pPr>
            <w:r>
              <w:rPr>
                <w:color w:val="1A1A1A"/>
                <w:sz w:val="19"/>
                <w:szCs w:val="19"/>
              </w:rPr>
              <w:t xml:space="preserve">Multi Framework Optimisation</w:t>
            </w:r>
          </w:p>
        </w:tc>
        <w:tc>
          <w:tcPr>
            <w:tcW w:type="dxa" w:w="6365"/>
            <w:shd w:fill="F7F6F3" w:val="clear"/>
            <w:tcMar>
              <w:top w:type="dxa" w:w="90"/>
              <w:left w:type="dxa" w:w="120"/>
              <w:bottom w:type="dxa" w:w="90"/>
              <w:right w:type="dxa" w:w="120"/>
            </w:tcMar>
            <w:vAlign w:val="center"/>
          </w:tcPr>
          <w:p>
            <w:pPr>
              <w:spacing w:after="0" w:line="258"/>
            </w:pPr>
            <w:r>
              <w:rPr>
                <w:color w:val="1A1A1A"/>
                <w:sz w:val="19"/>
                <w:szCs w:val="19"/>
              </w:rPr>
              <w:t xml:space="preserve">Which remediations close the most weighted risk per hour</w:t>
            </w:r>
          </w:p>
        </w:tc>
      </w:tr>
    </w:tbl>
    <w:p>
      <w:pPr>
        <w:pStyle w:val="Heading2"/>
        <w:spacing w:after="140" w:before="320"/>
      </w:pPr>
      <w:r>
        <w:rPr>
          <w:b/>
          <w:bCs/>
          <w:color w:val="12314F"/>
          <w:sz w:val="26"/>
          <w:szCs w:val="26"/>
        </w:rPr>
        <w:t xml:space="preserve">8.3  Data residency</w:t>
      </w:r>
    </w:p>
    <w:p>
      <w:pPr>
        <w:spacing w:after="140" w:line="276"/>
      </w:pPr>
      <w:r>
        <w:rPr>
          <w:color w:val="1A1A1A"/>
          <w:sz w:val="21"/>
          <w:szCs w:val="21"/>
        </w:rPr>
        <w:t xml:space="preserve">Residency Mode in GRC Engine Settings defaults to On-Premise Only. In that mode the controller rejects any AI endpoint that is not local unless it has been explicitly allow-listed, which is enforced at validation time rather than left to operator discipline.</w:t>
      </w:r>
    </w:p>
    <w:p>
      <w:pPr>
        <w:spacing w:after="140" w:line="276"/>
      </w:pPr>
      <w:r>
        <w:rPr>
          <w:color w:val="1A1A1A"/>
          <w:sz w:val="21"/>
          <w:szCs w:val="21"/>
        </w:rPr>
        <w:t xml:space="preserve">Narrative generation is disabled by default. When enabled it targets a self-hosted Ollama endpoint. There is no hosted-LLM code path in the application, which is a deliberate constraint for KSA PDPL deployments where evidence content — user lists, access reviews, infrastructure inventory — must not leave the Kingdom.</w:t>
      </w:r>
    </w:p>
    <w:p>
      <w:pPr>
        <w:pStyle w:val="Heading2"/>
        <w:spacing w:after="140" w:before="320"/>
      </w:pPr>
      <w:r>
        <w:rPr>
          <w:b/>
          <w:bCs/>
          <w:color w:val="12314F"/>
          <w:sz w:val="26"/>
          <w:szCs w:val="26"/>
        </w:rPr>
        <w:t xml:space="preserve">8.4  Troubleshooting</w:t>
      </w:r>
    </w:p>
    <w:tbl>
      <w:tblPr>
        <w:tblW w:type="dxa" w:w="9360"/>
        <w:tblBorders>
          <w:top w:val="single" w:color="C9D0D6" w:sz="4"/>
          <w:left w:val="none"/>
          <w:bottom w:val="single" w:color="C9D0D6" w:sz="4"/>
          <w:right w:val="none"/>
          <w:insideH w:val="single" w:color="DDE2E6" w:sz="2"/>
          <w:insideV w:val="none"/>
        </w:tblBorders>
      </w:tblPr>
      <w:tblGrid>
        <w:gridCol w:w="3370"/>
        <w:gridCol w:w="5990"/>
      </w:tblGrid>
      <w:tr>
        <w:trPr>
          <w:tblHeader/>
        </w:trPr>
        <w:tc>
          <w:tcPr>
            <w:tcW w:type="dxa" w:w="3370"/>
            <w:shd w:fill="12314F" w:val="clear"/>
            <w:tcMar>
              <w:top w:type="dxa" w:w="90"/>
              <w:left w:type="dxa" w:w="120"/>
              <w:bottom w:type="dxa" w:w="90"/>
              <w:right w:type="dxa" w:w="120"/>
            </w:tcMar>
            <w:vAlign w:val="center"/>
          </w:tcPr>
          <w:p>
            <w:pPr>
              <w:spacing w:after="0" w:line="258"/>
            </w:pPr>
            <w:r>
              <w:rPr>
                <w:b/>
                <w:bCs/>
                <w:color w:val="FFFFFF"/>
                <w:sz w:val="18"/>
                <w:szCs w:val="18"/>
              </w:rPr>
              <w:t xml:space="preserve">Symptom</w:t>
            </w:r>
          </w:p>
        </w:tc>
        <w:tc>
          <w:tcPr>
            <w:tcW w:type="dxa" w:w="5990"/>
            <w:shd w:fill="12314F" w:val="clear"/>
            <w:tcMar>
              <w:top w:type="dxa" w:w="90"/>
              <w:left w:type="dxa" w:w="120"/>
              <w:bottom w:type="dxa" w:w="90"/>
              <w:right w:type="dxa" w:w="120"/>
            </w:tcMar>
            <w:vAlign w:val="center"/>
          </w:tcPr>
          <w:p>
            <w:pPr>
              <w:spacing w:after="0" w:line="258"/>
            </w:pPr>
            <w:r>
              <w:rPr>
                <w:b/>
                <w:bCs/>
                <w:color w:val="FFFFFF"/>
                <w:sz w:val="18"/>
                <w:szCs w:val="18"/>
              </w:rPr>
              <w:t xml:space="preserve">Likely cause</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Evidence set never runs on schedule</w:t>
            </w:r>
          </w:p>
        </w:tc>
        <w:tc>
          <w:tcPr>
            <w:tcW w:type="dxa" w:w="5990"/>
            <w:shd w:fill="FFFFFF" w:val="clear"/>
            <w:tcMar>
              <w:top w:type="dxa" w:w="90"/>
              <w:left w:type="dxa" w:w="120"/>
              <w:bottom w:type="dxa" w:w="90"/>
              <w:right w:type="dxa" w:w="120"/>
            </w:tcMar>
            <w:vAlign w:val="center"/>
          </w:tcPr>
          <w:p>
            <w:pPr>
              <w:spacing w:after="0" w:line="258"/>
            </w:pPr>
            <w:r>
              <w:rPr>
                <w:color w:val="1A1A1A"/>
                <w:sz w:val="19"/>
                <w:szCs w:val="19"/>
              </w:rPr>
              <w:t xml:space="preserve">Scheduler disabled, or the set itself is disabled. Check bench doctor.</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Run halts immediately at exit 5</w:t>
            </w:r>
          </w:p>
        </w:tc>
        <w:tc>
          <w:tcPr>
            <w:tcW w:type="dxa" w:w="5990"/>
            <w:shd w:fill="F7F6F3" w:val="clear"/>
            <w:tcMar>
              <w:top w:type="dxa" w:w="90"/>
              <w:left w:type="dxa" w:w="120"/>
              <w:bottom w:type="dxa" w:w="90"/>
              <w:right w:type="dxa" w:w="120"/>
            </w:tcMar>
            <w:vAlign w:val="center"/>
          </w:tcPr>
          <w:p>
            <w:pPr>
              <w:spacing w:after="0" w:line="258"/>
            </w:pPr>
            <w:r>
              <w:rPr>
                <w:color w:val="1A1A1A"/>
                <w:sz w:val="19"/>
                <w:szCs w:val="19"/>
              </w:rPr>
              <w:t xml:space="preserve">Preflight failed. The run record names the missing binary or environment variable.</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All fetchers return inconclusive</w:t>
            </w:r>
          </w:p>
        </w:tc>
        <w:tc>
          <w:tcPr>
            <w:tcW w:type="dxa" w:w="5990"/>
            <w:shd w:fill="FFFFFF" w:val="clear"/>
            <w:tcMar>
              <w:top w:type="dxa" w:w="90"/>
              <w:left w:type="dxa" w:w="120"/>
              <w:bottom w:type="dxa" w:w="90"/>
              <w:right w:type="dxa" w:w="120"/>
            </w:tcMar>
            <w:vAlign w:val="center"/>
          </w:tcPr>
          <w:p>
            <w:pPr>
              <w:spacing w:after="0" w:line="258"/>
            </w:pPr>
            <w:r>
              <w:rPr>
                <w:color w:val="1A1A1A"/>
                <w:sz w:val="19"/>
                <w:szCs w:val="19"/>
              </w:rPr>
              <w:t xml:space="preserve">No validation rules defined on those fetchers. Expected behaviour, not a fault.</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Coverage is 0% after a successful run</w:t>
            </w:r>
          </w:p>
        </w:tc>
        <w:tc>
          <w:tcPr>
            <w:tcW w:type="dxa" w:w="5990"/>
            <w:shd w:fill="F7F6F3" w:val="clear"/>
            <w:tcMar>
              <w:top w:type="dxa" w:w="90"/>
              <w:left w:type="dxa" w:w="120"/>
              <w:bottom w:type="dxa" w:w="90"/>
              <w:right w:type="dxa" w:w="120"/>
            </w:tcMar>
            <w:vAlign w:val="center"/>
          </w:tcPr>
          <w:p>
            <w:pPr>
              <w:spacing w:after="0" w:line="258"/>
            </w:pPr>
            <w:r>
              <w:rPr>
                <w:color w:val="1A1A1A"/>
                <w:sz w:val="19"/>
                <w:szCs w:val="19"/>
              </w:rPr>
              <w:t xml:space="preserve">Fetchers have no control links, so findings resolve to no control in scope.</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Ingest returns a validation error list</w:t>
            </w:r>
          </w:p>
        </w:tc>
        <w:tc>
          <w:tcPr>
            <w:tcW w:type="dxa" w:w="5990"/>
            <w:shd w:fill="FFFFFF" w:val="clear"/>
            <w:tcMar>
              <w:top w:type="dxa" w:w="90"/>
              <w:left w:type="dxa" w:w="120"/>
              <w:bottom w:type="dxa" w:w="90"/>
              <w:right w:type="dxa" w:w="120"/>
            </w:tcMar>
            <w:vAlign w:val="center"/>
          </w:tcPr>
          <w:p>
            <w:pPr>
              <w:spacing w:after="0" w:line="258"/>
            </w:pPr>
            <w:r>
              <w:rPr>
                <w:color w:val="1A1A1A"/>
                <w:sz w:val="19"/>
                <w:szCs w:val="19"/>
              </w:rPr>
              <w:t xml:space="preserve">Errors are indexed by position. findings[7] identifies the failing document.</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Crosswalk shows no targets</w:t>
            </w:r>
          </w:p>
        </w:tc>
        <w:tc>
          <w:tcPr>
            <w:tcW w:type="dxa" w:w="5990"/>
            <w:shd w:fill="F7F6F3" w:val="clear"/>
            <w:tcMar>
              <w:top w:type="dxa" w:w="90"/>
              <w:left w:type="dxa" w:w="120"/>
              <w:bottom w:type="dxa" w:w="90"/>
              <w:right w:type="dxa" w:w="120"/>
            </w:tcMar>
            <w:vAlign w:val="center"/>
          </w:tcPr>
          <w:p>
            <w:pPr>
              <w:spacing w:after="0" w:line="258"/>
            </w:pPr>
            <w:r>
              <w:rPr>
                <w:color w:val="1A1A1A"/>
                <w:sz w:val="19"/>
                <w:szCs w:val="19"/>
              </w:rPr>
              <w:t xml:space="preserve">No canonical framework designated, or no crosswalk edges for that control.</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Assessment ignores recent findings</w:t>
            </w:r>
          </w:p>
        </w:tc>
        <w:tc>
          <w:tcPr>
            <w:tcW w:type="dxa" w:w="5990"/>
            <w:shd w:fill="FFFFFF" w:val="clear"/>
            <w:tcMar>
              <w:top w:type="dxa" w:w="90"/>
              <w:left w:type="dxa" w:w="120"/>
              <w:bottom w:type="dxa" w:w="90"/>
              <w:right w:type="dxa" w:w="120"/>
            </w:tcMar>
            <w:vAlign w:val="center"/>
          </w:tcPr>
          <w:p>
            <w:pPr>
              <w:spacing w:after="0" w:line="258"/>
            </w:pPr>
            <w:r>
              <w:rPr>
                <w:color w:val="1A1A1A"/>
                <w:sz w:val="19"/>
                <w:szCs w:val="19"/>
              </w:rPr>
              <w:t xml:space="preserve">Findings are past connector TTL. Tick Include Stale Findings, or shorten the cadence.</w:t>
            </w:r>
          </w:p>
        </w:tc>
      </w:tr>
    </w:tbl>
    <w:p>
      <w:pPr>
        <w:pStyle w:val="Heading1"/>
        <w:pageBreakBefore/>
        <w:pBdr>
          <w:bottom w:val="single" w:color="1B6E7D" w:sz="10" w:space="8"/>
        </w:pBdr>
        <w:spacing w:after="240" w:before="0"/>
      </w:pPr>
      <w:r>
        <w:rPr>
          <w:b/>
          <w:bCs/>
          <w:color w:val="12314F"/>
          <w:sz w:val="36"/>
          <w:szCs w:val="36"/>
        </w:rPr>
        <w:t xml:space="preserve">9  Licensing and attribution</w:t>
      </w:r>
    </w:p>
    <w:tbl>
      <w:tblPr>
        <w:tblW w:type="dxa" w:w="9360"/>
        <w:tblBorders>
          <w:top w:val="none"/>
          <w:left w:val="single" w:color="1B6E7D" w:sz="18"/>
          <w:bottom w:val="none"/>
          <w:right w:val="none"/>
          <w:insideH w:val="none"/>
          <w:insideV w:val="none"/>
        </w:tblBorders>
      </w:tblPr>
      <w:tblGrid>
        <w:gridCol w:w="9360"/>
      </w:tblGrid>
      <w:tr>
        <w:tc>
          <w:tcPr>
            <w:tcW w:type="dxa" w:w="9360"/>
            <w:shd w:fill="F2EEE6" w:val="clear"/>
            <w:tcMar>
              <w:top w:type="dxa" w:w="150"/>
              <w:left w:type="dxa" w:w="190"/>
              <w:bottom w:type="dxa" w:w="150"/>
              <w:right w:type="dxa" w:w="190"/>
            </w:tcMar>
          </w:tcPr>
          <w:p>
            <w:pPr>
              <w:spacing w:after="70"/>
            </w:pPr>
            <w:r>
              <w:rPr>
                <w:b/>
                <w:bCs/>
                <w:color w:val="1B6E7D"/>
                <w:sz w:val="20"/>
                <w:szCs w:val="20"/>
              </w:rPr>
              <w:t xml:space="preserve">No normative control text from any licensed standard ships with this application</w:t>
            </w:r>
          </w:p>
          <w:p>
            <w:pPr>
              <w:spacing w:after="0" w:line="268"/>
            </w:pPr>
            <w:r>
              <w:rPr>
                <w:sz w:val="20"/>
                <w:szCs w:val="20"/>
              </w:rPr>
              <w:t xml:space="preserve">Control identifiers and clause numbers are referenced, which is how every GRC product cross-references. Titles, objectives and test procedures for licensed frameworks are not reproduced.</w:t>
            </w:r>
          </w:p>
        </w:tc>
      </w:tr>
    </w:tbl>
    <w:p>
      <w:pPr>
        <w:pStyle w:val="Heading2"/>
        <w:spacing w:after="140" w:before="320"/>
      </w:pPr>
      <w:r>
        <w:rPr>
          <w:b/>
          <w:bCs/>
          <w:color w:val="12314F"/>
          <w:sz w:val="26"/>
          <w:szCs w:val="26"/>
        </w:rPr>
        <w:t xml:space="preserve">9.1  Framework status</w:t>
      </w:r>
    </w:p>
    <w:tbl>
      <w:tblPr>
        <w:tblW w:type="dxa" w:w="9360"/>
        <w:tblBorders>
          <w:top w:val="single" w:color="C9D0D6" w:sz="4"/>
          <w:left w:val="none"/>
          <w:bottom w:val="single" w:color="C9D0D6" w:sz="4"/>
          <w:right w:val="none"/>
          <w:insideH w:val="single" w:color="DDE2E6" w:sz="2"/>
          <w:insideV w:val="none"/>
        </w:tblBorders>
      </w:tblPr>
      <w:tblGrid>
        <w:gridCol w:w="3182"/>
        <w:gridCol w:w="1123"/>
        <w:gridCol w:w="5055"/>
      </w:tblGrid>
      <w:tr>
        <w:trPr>
          <w:tblHeader/>
        </w:trPr>
        <w:tc>
          <w:tcPr>
            <w:tcW w:type="dxa" w:w="3182"/>
            <w:shd w:fill="12314F" w:val="clear"/>
            <w:tcMar>
              <w:top w:type="dxa" w:w="90"/>
              <w:left w:type="dxa" w:w="120"/>
              <w:bottom w:type="dxa" w:w="90"/>
              <w:right w:type="dxa" w:w="120"/>
            </w:tcMar>
            <w:vAlign w:val="center"/>
          </w:tcPr>
          <w:p>
            <w:pPr>
              <w:spacing w:after="0" w:line="258"/>
            </w:pPr>
            <w:r>
              <w:rPr>
                <w:b/>
                <w:bCs/>
                <w:color w:val="FFFFFF"/>
                <w:sz w:val="18"/>
                <w:szCs w:val="18"/>
              </w:rPr>
              <w:t xml:space="preserve">Framework</w:t>
            </w:r>
          </w:p>
        </w:tc>
        <w:tc>
          <w:tcPr>
            <w:tcW w:type="dxa" w:w="1123"/>
            <w:shd w:fill="12314F" w:val="clear"/>
            <w:tcMar>
              <w:top w:type="dxa" w:w="90"/>
              <w:left w:type="dxa" w:w="120"/>
              <w:bottom w:type="dxa" w:w="90"/>
              <w:right w:type="dxa" w:w="120"/>
            </w:tcMar>
            <w:vAlign w:val="center"/>
          </w:tcPr>
          <w:p>
            <w:pPr>
              <w:spacing w:after="0" w:line="258"/>
            </w:pPr>
            <w:r>
              <w:rPr>
                <w:b/>
                <w:bCs/>
                <w:color w:val="FFFFFF"/>
                <w:sz w:val="18"/>
                <w:szCs w:val="18"/>
              </w:rPr>
              <w:t xml:space="preserve">Controls</w:t>
            </w:r>
          </w:p>
        </w:tc>
        <w:tc>
          <w:tcPr>
            <w:tcW w:type="dxa" w:w="5055"/>
            <w:shd w:fill="12314F" w:val="clear"/>
            <w:tcMar>
              <w:top w:type="dxa" w:w="90"/>
              <w:left w:type="dxa" w:w="120"/>
              <w:bottom w:type="dxa" w:w="90"/>
              <w:right w:type="dxa" w:w="120"/>
            </w:tcMar>
            <w:vAlign w:val="center"/>
          </w:tcPr>
          <w:p>
            <w:pPr>
              <w:spacing w:after="0" w:line="258"/>
            </w:pPr>
            <w:r>
              <w:rPr>
                <w:b/>
                <w:bCs/>
                <w:color w:val="FFFFFF"/>
                <w:sz w:val="18"/>
                <w:szCs w:val="18"/>
              </w:rPr>
              <w:t xml:space="preserve">Status</w:t>
            </w:r>
          </w:p>
        </w:tc>
      </w:tr>
      <w:tr>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NCC (canonical)</w:t>
            </w:r>
          </w:p>
        </w:tc>
        <w:tc>
          <w:tcPr>
            <w:tcW w:type="dxa" w:w="1123"/>
            <w:shd w:fill="FFFFFF" w:val="clear"/>
            <w:tcMar>
              <w:top w:type="dxa" w:w="90"/>
              <w:left w:type="dxa" w:w="120"/>
              <w:bottom w:type="dxa" w:w="90"/>
              <w:right w:type="dxa" w:w="120"/>
            </w:tcMar>
            <w:vAlign w:val="center"/>
          </w:tcPr>
          <w:p>
            <w:pPr>
              <w:spacing w:after="0" w:line="258"/>
            </w:pPr>
            <w:r>
              <w:rPr>
                <w:color w:val="1A1A1A"/>
                <w:sz w:val="19"/>
                <w:szCs w:val="19"/>
              </w:rPr>
              <w:t xml:space="preserve">62</w:t>
            </w:r>
          </w:p>
        </w:tc>
        <w:tc>
          <w:tcPr>
            <w:tcW w:type="dxa" w:w="5055"/>
            <w:shd w:fill="FFFFFF" w:val="clear"/>
            <w:tcMar>
              <w:top w:type="dxa" w:w="90"/>
              <w:left w:type="dxa" w:w="120"/>
              <w:bottom w:type="dxa" w:w="90"/>
              <w:right w:type="dxa" w:w="120"/>
            </w:tcMar>
            <w:vAlign w:val="center"/>
          </w:tcPr>
          <w:p>
            <w:pPr>
              <w:spacing w:after="0" w:line="258"/>
            </w:pPr>
            <w:r>
              <w:rPr>
                <w:color w:val="1A1A1A"/>
                <w:sz w:val="19"/>
                <w:szCs w:val="19"/>
              </w:rPr>
              <w:t xml:space="preserve">Original wording. Freely editable and redistributable.</w:t>
            </w:r>
          </w:p>
        </w:tc>
      </w:tr>
      <w:tr>
        <w:tc>
          <w:tcPr>
            <w:tcW w:type="dxa" w:w="3182"/>
            <w:shd w:fill="F7F6F3" w:val="clear"/>
            <w:tcMar>
              <w:top w:type="dxa" w:w="90"/>
              <w:left w:type="dxa" w:w="120"/>
              <w:bottom w:type="dxa" w:w="90"/>
              <w:right w:type="dxa" w:w="120"/>
            </w:tcMar>
            <w:vAlign w:val="center"/>
          </w:tcPr>
          <w:p>
            <w:pPr>
              <w:spacing w:after="0" w:line="258"/>
            </w:pPr>
            <w:r>
              <w:rPr>
                <w:color w:val="1A1A1A"/>
                <w:sz w:val="19"/>
                <w:szCs w:val="19"/>
              </w:rPr>
              <w:t xml:space="preserve">NCA ECC-2:2024</w:t>
            </w:r>
          </w:p>
        </w:tc>
        <w:tc>
          <w:tcPr>
            <w:tcW w:type="dxa" w:w="1123"/>
            <w:shd w:fill="F7F6F3" w:val="clear"/>
            <w:tcMar>
              <w:top w:type="dxa" w:w="90"/>
              <w:left w:type="dxa" w:w="120"/>
              <w:bottom w:type="dxa" w:w="90"/>
              <w:right w:type="dxa" w:w="120"/>
            </w:tcMar>
            <w:vAlign w:val="center"/>
          </w:tcPr>
          <w:p>
            <w:pPr>
              <w:spacing w:after="0" w:line="258"/>
            </w:pPr>
            <w:r>
              <w:rPr>
                <w:color w:val="1A1A1A"/>
                <w:sz w:val="19"/>
                <w:szCs w:val="19"/>
              </w:rPr>
              <w:t xml:space="preserve">193</w:t>
            </w:r>
          </w:p>
        </w:tc>
        <w:tc>
          <w:tcPr>
            <w:tcW w:type="dxa" w:w="5055"/>
            <w:shd w:fill="F7F6F3" w:val="clear"/>
            <w:tcMar>
              <w:top w:type="dxa" w:w="90"/>
              <w:left w:type="dxa" w:w="120"/>
              <w:bottom w:type="dxa" w:w="90"/>
              <w:right w:type="dxa" w:w="120"/>
            </w:tcMar>
            <w:vAlign w:val="center"/>
          </w:tcPr>
          <w:p>
            <w:pPr>
              <w:spacing w:after="0" w:line="258"/>
            </w:pPr>
            <w:r>
              <w:rPr>
                <w:color w:val="1A1A1A"/>
                <w:sz w:val="19"/>
                <w:szCs w:val="19"/>
              </w:rPr>
              <w:t xml:space="preserve">Real control codes with domain and subdomain structure, 90 subcontrols. Identifiers only.</w:t>
            </w:r>
          </w:p>
        </w:tc>
      </w:tr>
      <w:tr>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NIST CSF 2.0</w:t>
            </w:r>
          </w:p>
        </w:tc>
        <w:tc>
          <w:tcPr>
            <w:tcW w:type="dxa" w:w="1123"/>
            <w:shd w:fill="FFFFFF" w:val="clear"/>
            <w:tcMar>
              <w:top w:type="dxa" w:w="90"/>
              <w:left w:type="dxa" w:w="120"/>
              <w:bottom w:type="dxa" w:w="90"/>
              <w:right w:type="dxa" w:w="120"/>
            </w:tcMar>
            <w:vAlign w:val="center"/>
          </w:tcPr>
          <w:p>
            <w:pPr>
              <w:spacing w:after="0" w:line="258"/>
            </w:pPr>
            <w:r>
              <w:rPr>
                <w:color w:val="1A1A1A"/>
                <w:sz w:val="19"/>
                <w:szCs w:val="19"/>
              </w:rPr>
              <w:t xml:space="preserve">106</w:t>
            </w:r>
          </w:p>
        </w:tc>
        <w:tc>
          <w:tcPr>
            <w:tcW w:type="dxa" w:w="5055"/>
            <w:shd w:fill="FFFFFF" w:val="clear"/>
            <w:tcMar>
              <w:top w:type="dxa" w:w="90"/>
              <w:left w:type="dxa" w:w="120"/>
              <w:bottom w:type="dxa" w:w="90"/>
              <w:right w:type="dxa" w:w="120"/>
            </w:tcMar>
            <w:vAlign w:val="center"/>
          </w:tcPr>
          <w:p>
            <w:pPr>
              <w:spacing w:after="0" w:line="258"/>
            </w:pPr>
            <w:r>
              <w:rPr>
                <w:color w:val="1A1A1A"/>
                <w:sz w:val="19"/>
                <w:szCs w:val="19"/>
              </w:rPr>
              <w:t xml:space="preserve">Subcategory codes and titles. US Government work, public domain.</w:t>
            </w:r>
          </w:p>
        </w:tc>
      </w:tr>
      <w:tr>
        <w:tc>
          <w:tcPr>
            <w:tcW w:type="dxa" w:w="3182"/>
            <w:shd w:fill="F7F6F3" w:val="clear"/>
            <w:tcMar>
              <w:top w:type="dxa" w:w="90"/>
              <w:left w:type="dxa" w:w="120"/>
              <w:bottom w:type="dxa" w:w="90"/>
              <w:right w:type="dxa" w:w="120"/>
            </w:tcMar>
            <w:vAlign w:val="center"/>
          </w:tcPr>
          <w:p>
            <w:pPr>
              <w:spacing w:after="0" w:line="258"/>
            </w:pPr>
            <w:r>
              <w:rPr>
                <w:color w:val="1A1A1A"/>
                <w:sz w:val="19"/>
                <w:szCs w:val="19"/>
              </w:rPr>
              <w:t xml:space="preserve">NIST SP 800-53 r5</w:t>
            </w:r>
          </w:p>
        </w:tc>
        <w:tc>
          <w:tcPr>
            <w:tcW w:type="dxa" w:w="1123"/>
            <w:shd w:fill="F7F6F3" w:val="clear"/>
            <w:tcMar>
              <w:top w:type="dxa" w:w="90"/>
              <w:left w:type="dxa" w:w="120"/>
              <w:bottom w:type="dxa" w:w="90"/>
              <w:right w:type="dxa" w:w="120"/>
            </w:tcMar>
            <w:vAlign w:val="center"/>
          </w:tcPr>
          <w:p>
            <w:pPr>
              <w:spacing w:after="0" w:line="258"/>
            </w:pPr>
            <w:r>
              <w:rPr>
                <w:color w:val="1A1A1A"/>
                <w:sz w:val="19"/>
                <w:szCs w:val="19"/>
              </w:rPr>
              <w:t xml:space="preserve">58</w:t>
            </w:r>
          </w:p>
        </w:tc>
        <w:tc>
          <w:tcPr>
            <w:tcW w:type="dxa" w:w="5055"/>
            <w:shd w:fill="F7F6F3" w:val="clear"/>
            <w:tcMar>
              <w:top w:type="dxa" w:w="90"/>
              <w:left w:type="dxa" w:w="120"/>
              <w:bottom w:type="dxa" w:w="90"/>
              <w:right w:type="dxa" w:w="120"/>
            </w:tcMar>
            <w:vAlign w:val="center"/>
          </w:tcPr>
          <w:p>
            <w:pPr>
              <w:spacing w:after="0" w:line="258"/>
            </w:pPr>
            <w:r>
              <w:rPr>
                <w:color w:val="1A1A1A"/>
                <w:sz w:val="19"/>
                <w:szCs w:val="19"/>
              </w:rPr>
              <w:t xml:space="preserve">Identifiers. Public domain.</w:t>
            </w:r>
          </w:p>
        </w:tc>
      </w:tr>
      <w:tr>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EU GDPR</w:t>
            </w:r>
          </w:p>
        </w:tc>
        <w:tc>
          <w:tcPr>
            <w:tcW w:type="dxa" w:w="1123"/>
            <w:shd w:fill="FFFFFF" w:val="clear"/>
            <w:tcMar>
              <w:top w:type="dxa" w:w="90"/>
              <w:left w:type="dxa" w:w="120"/>
              <w:bottom w:type="dxa" w:w="90"/>
              <w:right w:type="dxa" w:w="120"/>
            </w:tcMar>
            <w:vAlign w:val="center"/>
          </w:tcPr>
          <w:p>
            <w:pPr>
              <w:spacing w:after="0" w:line="258"/>
            </w:pPr>
            <w:r>
              <w:rPr>
                <w:color w:val="1A1A1A"/>
                <w:sz w:val="19"/>
                <w:szCs w:val="19"/>
              </w:rPr>
              <w:t xml:space="preserve">43</w:t>
            </w:r>
          </w:p>
        </w:tc>
        <w:tc>
          <w:tcPr>
            <w:tcW w:type="dxa" w:w="5055"/>
            <w:shd w:fill="FFFFFF" w:val="clear"/>
            <w:tcMar>
              <w:top w:type="dxa" w:w="90"/>
              <w:left w:type="dxa" w:w="120"/>
              <w:bottom w:type="dxa" w:w="90"/>
              <w:right w:type="dxa" w:w="120"/>
            </w:tcMar>
            <w:vAlign w:val="center"/>
          </w:tcPr>
          <w:p>
            <w:pPr>
              <w:spacing w:after="0" w:line="258"/>
            </w:pPr>
            <w:r>
              <w:rPr>
                <w:color w:val="1A1A1A"/>
                <w:sz w:val="19"/>
                <w:szCs w:val="19"/>
              </w:rPr>
              <w:t xml:space="preserve">Article numbers and titles. Published legislation.</w:t>
            </w:r>
          </w:p>
        </w:tc>
      </w:tr>
      <w:tr>
        <w:tc>
          <w:tcPr>
            <w:tcW w:type="dxa" w:w="3182"/>
            <w:shd w:fill="F7F6F3" w:val="clear"/>
            <w:tcMar>
              <w:top w:type="dxa" w:w="90"/>
              <w:left w:type="dxa" w:w="120"/>
              <w:bottom w:type="dxa" w:w="90"/>
              <w:right w:type="dxa" w:w="120"/>
            </w:tcMar>
            <w:vAlign w:val="center"/>
          </w:tcPr>
          <w:p>
            <w:pPr>
              <w:spacing w:after="0" w:line="258"/>
            </w:pPr>
            <w:r>
              <w:rPr>
                <w:color w:val="1A1A1A"/>
                <w:sz w:val="19"/>
                <w:szCs w:val="19"/>
              </w:rPr>
              <w:t xml:space="preserve">ISO 27001:2022 · ISO 42001:2023 · ISO 22301:2019</w:t>
            </w:r>
          </w:p>
        </w:tc>
        <w:tc>
          <w:tcPr>
            <w:tcW w:type="dxa" w:w="1123"/>
            <w:shd w:fill="F7F6F3" w:val="clear"/>
            <w:tcMar>
              <w:top w:type="dxa" w:w="90"/>
              <w:left w:type="dxa" w:w="120"/>
              <w:bottom w:type="dxa" w:w="90"/>
              <w:right w:type="dxa" w:w="120"/>
            </w:tcMar>
            <w:vAlign w:val="center"/>
          </w:tcPr>
          <w:p>
            <w:pPr>
              <w:spacing w:after="0" w:line="258"/>
            </w:pPr>
            <w:r>
              <w:rPr>
                <w:color w:val="1A1A1A"/>
                <w:sz w:val="19"/>
                <w:szCs w:val="19"/>
              </w:rPr>
              <w:t xml:space="preserve">114</w:t>
            </w:r>
          </w:p>
        </w:tc>
        <w:tc>
          <w:tcPr>
            <w:tcW w:type="dxa" w:w="5055"/>
            <w:shd w:fill="F7F6F3" w:val="clear"/>
            <w:tcMar>
              <w:top w:type="dxa" w:w="90"/>
              <w:left w:type="dxa" w:w="120"/>
              <w:bottom w:type="dxa" w:w="90"/>
              <w:right w:type="dxa" w:w="120"/>
            </w:tcMar>
            <w:vAlign w:val="center"/>
          </w:tcPr>
          <w:p>
            <w:pPr>
              <w:spacing w:after="0" w:line="258"/>
            </w:pPr>
            <w:r>
              <w:rPr>
                <w:color w:val="1A1A1A"/>
                <w:sz w:val="19"/>
                <w:szCs w:val="19"/>
              </w:rPr>
              <w:t xml:space="preserve">Identifiers only. Normative text is ISO/IEC property.</w:t>
            </w:r>
          </w:p>
        </w:tc>
      </w:tr>
      <w:tr>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KSA PDPL</w:t>
            </w:r>
          </w:p>
        </w:tc>
        <w:tc>
          <w:tcPr>
            <w:tcW w:type="dxa" w:w="1123"/>
            <w:shd w:fill="FFFFFF" w:val="clear"/>
            <w:tcMar>
              <w:top w:type="dxa" w:w="90"/>
              <w:left w:type="dxa" w:w="120"/>
              <w:bottom w:type="dxa" w:w="90"/>
              <w:right w:type="dxa" w:w="120"/>
            </w:tcMar>
            <w:vAlign w:val="center"/>
          </w:tcPr>
          <w:p>
            <w:pPr>
              <w:spacing w:after="0" w:line="258"/>
            </w:pPr>
            <w:r>
              <w:rPr>
                <w:color w:val="1A1A1A"/>
                <w:sz w:val="19"/>
                <w:szCs w:val="19"/>
              </w:rPr>
              <w:t xml:space="preserve">31</w:t>
            </w:r>
          </w:p>
        </w:tc>
        <w:tc>
          <w:tcPr>
            <w:tcW w:type="dxa" w:w="5055"/>
            <w:shd w:fill="FFFFFF" w:val="clear"/>
            <w:tcMar>
              <w:top w:type="dxa" w:w="90"/>
              <w:left w:type="dxa" w:w="120"/>
              <w:bottom w:type="dxa" w:w="90"/>
              <w:right w:type="dxa" w:w="120"/>
            </w:tcMar>
            <w:vAlign w:val="center"/>
          </w:tcPr>
          <w:p>
            <w:pPr>
              <w:spacing w:after="0" w:line="258"/>
            </w:pPr>
            <w:r>
              <w:rPr>
                <w:color w:val="1A1A1A"/>
                <w:sz w:val="19"/>
                <w:szCs w:val="19"/>
              </w:rPr>
              <w:t xml:space="preserve">Articles, Implementing Regulations, Cross-Border rules and NDMO guidance.</w:t>
            </w:r>
          </w:p>
        </w:tc>
      </w:tr>
      <w:tr>
        <w:tc>
          <w:tcPr>
            <w:tcW w:type="dxa" w:w="3182"/>
            <w:shd w:fill="F7F6F3" w:val="clear"/>
            <w:tcMar>
              <w:top w:type="dxa" w:w="90"/>
              <w:left w:type="dxa" w:w="120"/>
              <w:bottom w:type="dxa" w:w="90"/>
              <w:right w:type="dxa" w:w="120"/>
            </w:tcMar>
            <w:vAlign w:val="center"/>
          </w:tcPr>
          <w:p>
            <w:pPr>
              <w:spacing w:after="0" w:line="258"/>
            </w:pPr>
            <w:r>
              <w:rPr>
                <w:color w:val="1A1A1A"/>
                <w:sz w:val="19"/>
                <w:szCs w:val="19"/>
              </w:rPr>
              <w:t xml:space="preserve">PCI DSS 4.0 · CIS v8 · SOC 2 TSC</w:t>
            </w:r>
          </w:p>
        </w:tc>
        <w:tc>
          <w:tcPr>
            <w:tcW w:type="dxa" w:w="1123"/>
            <w:shd w:fill="F7F6F3" w:val="clear"/>
            <w:tcMar>
              <w:top w:type="dxa" w:w="90"/>
              <w:left w:type="dxa" w:w="120"/>
              <w:bottom w:type="dxa" w:w="90"/>
              <w:right w:type="dxa" w:w="120"/>
            </w:tcMar>
            <w:vAlign w:val="center"/>
          </w:tcPr>
          <w:p>
            <w:pPr>
              <w:spacing w:after="0" w:line="258"/>
            </w:pPr>
            <w:r>
              <w:rPr>
                <w:color w:val="1A1A1A"/>
                <w:sz w:val="19"/>
                <w:szCs w:val="19"/>
              </w:rPr>
              <w:t xml:space="preserve">62</w:t>
            </w:r>
          </w:p>
        </w:tc>
        <w:tc>
          <w:tcPr>
            <w:tcW w:type="dxa" w:w="5055"/>
            <w:shd w:fill="F7F6F3" w:val="clear"/>
            <w:tcMar>
              <w:top w:type="dxa" w:w="90"/>
              <w:left w:type="dxa" w:w="120"/>
              <w:bottom w:type="dxa" w:w="90"/>
              <w:right w:type="dxa" w:w="120"/>
            </w:tcMar>
            <w:vAlign w:val="center"/>
          </w:tcPr>
          <w:p>
            <w:pPr>
              <w:spacing w:after="0" w:line="258"/>
            </w:pPr>
            <w:r>
              <w:rPr>
                <w:color w:val="1A1A1A"/>
                <w:sz w:val="19"/>
                <w:szCs w:val="19"/>
              </w:rPr>
              <w:t xml:space="preserve">Identifiers only. Text remains with the respective bodies.</w:t>
            </w:r>
          </w:p>
        </w:tc>
      </w:tr>
      <w:tr>
        <w:tc>
          <w:tcPr>
            <w:tcW w:type="dxa" w:w="3182"/>
            <w:shd w:fill="FFFFFF" w:val="clear"/>
            <w:tcMar>
              <w:top w:type="dxa" w:w="90"/>
              <w:left w:type="dxa" w:w="120"/>
              <w:bottom w:type="dxa" w:w="90"/>
              <w:right w:type="dxa" w:w="120"/>
            </w:tcMar>
            <w:vAlign w:val="center"/>
          </w:tcPr>
          <w:p>
            <w:pPr>
              <w:spacing w:after="0" w:line="258"/>
            </w:pPr>
            <w:r>
              <w:rPr>
                <w:color w:val="1A1A1A"/>
                <w:sz w:val="19"/>
                <w:szCs w:val="19"/>
              </w:rPr>
              <w:t xml:space="preserve">FedRAMP 20x KSI · NCA CCC · SAMA CSF</w:t>
            </w:r>
          </w:p>
        </w:tc>
        <w:tc>
          <w:tcPr>
            <w:tcW w:type="dxa" w:w="1123"/>
            <w:shd w:fill="FFFFFF" w:val="clear"/>
            <w:tcMar>
              <w:top w:type="dxa" w:w="90"/>
              <w:left w:type="dxa" w:w="120"/>
              <w:bottom w:type="dxa" w:w="90"/>
              <w:right w:type="dxa" w:w="120"/>
            </w:tcMar>
            <w:vAlign w:val="center"/>
          </w:tcPr>
          <w:p>
            <w:pPr>
              <w:spacing w:after="0" w:line="258"/>
            </w:pPr>
            <w:r>
              <w:rPr>
                <w:color w:val="1A1A1A"/>
                <w:sz w:val="19"/>
                <w:szCs w:val="19"/>
              </w:rPr>
              <w:t xml:space="preserve">33</w:t>
            </w:r>
          </w:p>
        </w:tc>
        <w:tc>
          <w:tcPr>
            <w:tcW w:type="dxa" w:w="5055"/>
            <w:shd w:fill="FFFFFF" w:val="clear"/>
            <w:tcMar>
              <w:top w:type="dxa" w:w="90"/>
              <w:left w:type="dxa" w:w="120"/>
              <w:bottom w:type="dxa" w:w="90"/>
              <w:right w:type="dxa" w:w="120"/>
            </w:tcMar>
            <w:vAlign w:val="center"/>
          </w:tcPr>
          <w:p>
            <w:pPr>
              <w:spacing w:after="0" w:line="258"/>
            </w:pPr>
            <w:r>
              <w:rPr>
                <w:color w:val="1A1A1A"/>
                <w:sz w:val="19"/>
                <w:szCs w:val="19"/>
              </w:rPr>
              <w:t xml:space="preserve">Key indicators and control identifiers.</w:t>
            </w:r>
          </w:p>
        </w:tc>
      </w:tr>
    </w:tbl>
    <w:p>
      <w:pPr>
        <w:spacing w:after="140" w:line="276"/>
      </w:pPr>
      <w:r>
        <w:rPr>
          <w:color w:val="1A1A1A"/>
          <w:sz w:val="21"/>
          <w:szCs w:val="21"/>
        </w:rPr>
        <w:t xml:space="preserve">702 controls across 15 frameworks, joined by 1,121 crosswalk edges.</w:t>
      </w:r>
    </w:p>
    <w:p>
      <w:pPr>
        <w:pStyle w:val="Heading3"/>
        <w:spacing w:after="110" w:before="240"/>
      </w:pPr>
      <w:r>
        <w:rPr>
          <w:b/>
          <w:bCs/>
          <w:color w:val="1B6E7D"/>
          <w:sz w:val="22"/>
          <w:szCs w:val="22"/>
        </w:rPr>
        <w:t xml:space="preserve">What was deliberately left out</w:t>
      </w:r>
    </w:p>
    <w:p>
      <w:pPr>
        <w:spacing w:after="140" w:line="276"/>
      </w:pPr>
      <w:r>
        <w:rPr>
          <w:color w:val="1A1A1A"/>
          <w:sz w:val="21"/>
          <w:szCs w:val="21"/>
        </w:rPr>
        <w:t xml:space="preserve">The NCA ECC-2 catalogue used as the structural source for the 193 control codes also carries the verbatim normative Arabic text from the official GECC-2024 spreadsheet, along with the implementation-method and expected-output columns. None of that is reproduced here. What was taken is the control codes, the domain and subdomain labels, and the subcontrol hierarchy.</w:t>
      </w:r>
    </w:p>
    <w:p>
      <w:pPr>
        <w:spacing w:after="140" w:line="276"/>
      </w:pPr>
      <w:r>
        <w:rPr>
          <w:color w:val="1A1A1A"/>
          <w:sz w:val="21"/>
          <w:szCs w:val="21"/>
        </w:rPr>
        <w:t xml:space="preserve">The same source's English column was machine-damaged in any case — 145 of its 198 rows are empty, and every one of the remaining 53 begins mid-sentence or carries footnote artefacts — so it would not have been usable even had the licensing allowed it.</w:t>
      </w:r>
    </w:p>
    <w:p>
      <w:pPr>
        <w:pStyle w:val="Heading3"/>
        <w:spacing w:after="110" w:before="240"/>
      </w:pPr>
      <w:r>
        <w:rPr>
          <w:b/>
          <w:bCs/>
          <w:color w:val="1B6E7D"/>
          <w:sz w:val="22"/>
          <w:szCs w:val="22"/>
        </w:rPr>
        <w:t xml:space="preserve">Binding and related mappings</w:t>
      </w:r>
    </w:p>
    <w:p>
      <w:pPr>
        <w:spacing w:after="140" w:line="276"/>
      </w:pPr>
      <w:r>
        <w:rPr>
          <w:color w:val="1A1A1A"/>
          <w:sz w:val="21"/>
          <w:szCs w:val="21"/>
        </w:rPr>
        <w:t xml:space="preserve">Every crosswalk edge carries a relationship. Only equivalent, subset and superset carry coverage into a gap assessment. Related edges appear in the crosswalk viewer, marked as not carrying coverage, and are excluded from scoring.</w:t>
      </w:r>
    </w:p>
    <w:p>
      <w:pPr>
        <w:spacing w:after="140" w:line="276"/>
      </w:pPr>
      <w:r>
        <w:rPr>
          <w:color w:val="1A1A1A"/>
          <w:sz w:val="21"/>
          <w:szCs w:val="21"/>
        </w:rPr>
        <w:t xml:space="preserve">This matters because 910 of the 1,121 shipped edges are derived at family level — canonical family to framework subdomain — rather than control to control. Treating those as binding would let a single passing governance check mark dozens of target controls as covered, which is exactly the coverage inflation described in section 7.3. Narrow them to control level as you validate each one, and change the relationship to equivalent as you go.</w:t>
      </w:r>
    </w:p>
    <w:p>
      <w:pPr>
        <w:spacing w:after="80"/>
      </w:pPr>
    </w:p>
    <w:tbl>
      <w:tblPr>
        <w:tblW w:type="dxa" w:w="9360"/>
        <w:tblBorders>
          <w:top w:val="none"/>
          <w:left w:val="single" w:color="A8802C" w:sz="18"/>
          <w:bottom w:val="none"/>
          <w:right w:val="none"/>
          <w:insideH w:val="none"/>
          <w:insideV w:val="none"/>
        </w:tblBorders>
      </w:tblPr>
      <w:tblGrid>
        <w:gridCol w:w="9360"/>
      </w:tblGrid>
      <w:tr>
        <w:tc>
          <w:tcPr>
            <w:tcW w:type="dxa" w:w="9360"/>
            <w:shd w:fill="F2EEE6" w:val="clear"/>
            <w:tcMar>
              <w:top w:type="dxa" w:w="150"/>
              <w:left w:type="dxa" w:w="190"/>
              <w:bottom w:type="dxa" w:w="150"/>
              <w:right w:type="dxa" w:w="190"/>
            </w:tcMar>
          </w:tcPr>
          <w:p>
            <w:pPr>
              <w:spacing w:after="70"/>
            </w:pPr>
            <w:r>
              <w:rPr>
                <w:b/>
                <w:bCs/>
                <w:color w:val="A8802C"/>
                <w:sz w:val="20"/>
                <w:szCs w:val="20"/>
              </w:rPr>
              <w:t xml:space="preserve">Expect low ECC coverage on the first assessment</w:t>
            </w:r>
          </w:p>
          <w:p>
            <w:pPr>
              <w:spacing w:after="0" w:line="268"/>
            </w:pPr>
            <w:r>
              <w:rPr>
                <w:sz w:val="20"/>
                <w:szCs w:val="20"/>
              </w:rPr>
              <w:t xml:space="preserve">The 356 NCA ECC-2 edges shipped are family-level derivations. They will not score until a consultant narrows them to control level. That is the correct behaviour: a mapping nobody has checked should not answer a regulator's control.</w:t>
            </w:r>
          </w:p>
        </w:tc>
      </w:tr>
    </w:tbl>
    <w:p>
      <w:pPr>
        <w:pStyle w:val="Heading2"/>
        <w:spacing w:after="140" w:before="320"/>
      </w:pPr>
      <w:r>
        <w:rPr>
          <w:b/>
          <w:bCs/>
          <w:color w:val="12314F"/>
          <w:sz w:val="26"/>
          <w:szCs w:val="26"/>
        </w:rPr>
        <w:t xml:space="preserve">9.2  Loading licensed text</w:t>
      </w:r>
    </w:p>
    <w:p>
      <w:pPr>
        <w:spacing w:after="140" w:line="276"/>
      </w:pPr>
      <w:r>
        <w:rPr>
          <w:color w:val="1A1A1A"/>
          <w:sz w:val="21"/>
          <w:szCs w:val="21"/>
        </w:rPr>
        <w:t xml:space="preserve">Where the organisation holds a licence, replace the stub titles and objectives in place. The controls, crosswalk edges and any findings already mapped to them are unaffected — only the descriptive fields change. This is the intended workflow rather than a workaround.</w:t>
      </w:r>
    </w:p>
    <w:p>
      <w:pPr>
        <w:pStyle w:val="Heading2"/>
        <w:spacing w:after="140" w:before="320"/>
      </w:pPr>
      <w:r>
        <w:rPr>
          <w:b/>
          <w:bCs/>
          <w:color w:val="12314F"/>
          <w:sz w:val="26"/>
          <w:szCs w:val="26"/>
        </w:rPr>
        <w:t xml:space="preserve">9.3  The build-time guard</w:t>
      </w:r>
    </w:p>
    <w:p>
      <w:pPr>
        <w:spacing w:after="140" w:line="276"/>
      </w:pPr>
      <w:r>
        <w:rPr>
          <w:color w:val="1A1A1A"/>
          <w:sz w:val="21"/>
          <w:szCs w:val="21"/>
        </w:rPr>
        <w:t xml:space="preserve">verify_tree.py fails the build if standard-clause phrasing appears anywhere in the seed data. It is a blunt check on characteristic phrasing, and it is deliberately blunt: it caught its own author's draft ISO disclaimer during development, which is the check doing its job.</w:t>
      </w:r>
    </w:p>
    <w:p>
      <w:pPr>
        <w:pStyle w:val="Heading2"/>
        <w:spacing w:after="140" w:before="320"/>
      </w:pPr>
      <w:r>
        <w:rPr>
          <w:b/>
          <w:bCs/>
          <w:color w:val="12314F"/>
          <w:sz w:val="26"/>
          <w:szCs w:val="26"/>
        </w:rPr>
        <w:t xml:space="preserve">9.4  Reference projects</w:t>
      </w:r>
    </w:p>
    <w:p>
      <w:pPr>
        <w:spacing w:after="140" w:line="276"/>
      </w:pPr>
      <w:r>
        <w:rPr>
          <w:color w:val="1A1A1A"/>
          <w:sz w:val="21"/>
          <w:szCs w:val="21"/>
        </w:rPr>
        <w:t xml:space="preserve">Three open-source projects informed the design. No code was copied from any of them; what was taken is the shape of the data contract and the collection pipeline.</w:t>
      </w:r>
    </w:p>
    <w:tbl>
      <w:tblPr>
        <w:tblW w:type="dxa" w:w="9360"/>
        <w:tblBorders>
          <w:top w:val="single" w:color="C9D0D6" w:sz="4"/>
          <w:left w:val="none"/>
          <w:bottom w:val="single" w:color="C9D0D6" w:sz="4"/>
          <w:right w:val="none"/>
          <w:insideH w:val="single" w:color="DDE2E6" w:sz="2"/>
          <w:insideV w:val="none"/>
        </w:tblBorders>
      </w:tblPr>
      <w:tblGrid>
        <w:gridCol w:w="2808"/>
        <w:gridCol w:w="6552"/>
      </w:tblGrid>
      <w:tr>
        <w:trPr>
          <w:tblHeader/>
        </w:trPr>
        <w:tc>
          <w:tcPr>
            <w:tcW w:type="dxa" w:w="2808"/>
            <w:shd w:fill="12314F" w:val="clear"/>
            <w:tcMar>
              <w:top w:type="dxa" w:w="90"/>
              <w:left w:type="dxa" w:w="120"/>
              <w:bottom w:type="dxa" w:w="90"/>
              <w:right w:type="dxa" w:w="120"/>
            </w:tcMar>
            <w:vAlign w:val="center"/>
          </w:tcPr>
          <w:p>
            <w:pPr>
              <w:spacing w:after="0" w:line="258"/>
            </w:pPr>
            <w:r>
              <w:rPr>
                <w:b/>
                <w:bCs/>
                <w:color w:val="FFFFFF"/>
                <w:sz w:val="18"/>
                <w:szCs w:val="18"/>
              </w:rPr>
              <w:t xml:space="preserve">Project</w:t>
            </w:r>
          </w:p>
        </w:tc>
        <w:tc>
          <w:tcPr>
            <w:tcW w:type="dxa" w:w="6552"/>
            <w:shd w:fill="12314F" w:val="clear"/>
            <w:tcMar>
              <w:top w:type="dxa" w:w="90"/>
              <w:left w:type="dxa" w:w="120"/>
              <w:bottom w:type="dxa" w:w="90"/>
              <w:right w:type="dxa" w:w="120"/>
            </w:tcMar>
            <w:vAlign w:val="center"/>
          </w:tcPr>
          <w:p>
            <w:pPr>
              <w:spacing w:after="0" w:line="258"/>
            </w:pPr>
            <w:r>
              <w:rPr>
                <w:b/>
                <w:bCs/>
                <w:color w:val="FFFFFF"/>
                <w:sz w:val="18"/>
                <w:szCs w:val="18"/>
              </w:rPr>
              <w:t xml:space="preserve">What it informed</w:t>
            </w:r>
          </w:p>
        </w:tc>
      </w:tr>
      <w:tr>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claude-grc-engineering</w:t>
            </w:r>
          </w:p>
          <w:p>
            <w:pPr>
              <w:spacing w:after="0" w:line="258"/>
            </w:pPr>
            <w:r>
              <w:rPr>
                <w:color w:val="1A1A1A"/>
                <w:sz w:val="19"/>
                <w:szCs w:val="19"/>
              </w:rPr>
              <w:t xml:space="preserve">(NeoGRC Engineering Club)</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The finding schema v1.0.0 data contract, the risk, exception, vendor, policy and metric record shapes, the canonical-control crosswalk model, and the connector quality bar</w:t>
            </w:r>
          </w:p>
        </w:tc>
      </w:tr>
      <w:tr>
        <w:tc>
          <w:tcPr>
            <w:tcW w:type="dxa" w:w="2808"/>
            <w:shd w:fill="F7F6F3" w:val="clear"/>
            <w:tcMar>
              <w:top w:type="dxa" w:w="90"/>
              <w:left w:type="dxa" w:w="120"/>
              <w:bottom w:type="dxa" w:w="90"/>
              <w:right w:type="dxa" w:w="120"/>
            </w:tcMar>
            <w:vAlign w:val="center"/>
          </w:tcPr>
          <w:p>
            <w:pPr>
              <w:spacing w:after="0" w:line="258"/>
            </w:pPr>
            <w:r>
              <w:rPr>
                <w:color w:val="1A1A1A"/>
                <w:sz w:val="19"/>
                <w:szCs w:val="19"/>
              </w:rPr>
              <w:t xml:space="preserve">evidence-fetchers</w:t>
            </w:r>
          </w:p>
          <w:p>
            <w:pPr>
              <w:spacing w:after="0" w:line="258"/>
            </w:pPr>
            <w:r>
              <w:rPr>
                <w:color w:val="1A1A1A"/>
                <w:sz w:val="19"/>
                <w:szCs w:val="19"/>
              </w:rPr>
              <w:t xml:space="preserve">(Paramify)</w:t>
            </w:r>
          </w:p>
        </w:tc>
        <w:tc>
          <w:tcPr>
            <w:tcW w:type="dxa" w:w="6552"/>
            <w:shd w:fill="F7F6F3" w:val="clear"/>
            <w:tcMar>
              <w:top w:type="dxa" w:w="90"/>
              <w:left w:type="dxa" w:w="120"/>
              <w:bottom w:type="dxa" w:w="90"/>
              <w:right w:type="dxa" w:w="120"/>
            </w:tcMar>
            <w:vAlign w:val="center"/>
          </w:tcPr>
          <w:p>
            <w:pPr>
              <w:spacing w:after="0" w:line="258"/>
            </w:pPr>
            <w:r>
              <w:rPr>
                <w:color w:val="1A1A1A"/>
                <w:sz w:val="19"/>
                <w:szCs w:val="19"/>
              </w:rPr>
              <w:t xml:space="preserve">Fetcher catalogue structure, evidence sets mapped to FedRAMP 20x Key Security Indicators, regex validation rules, timestamped run directories, and structured exit codes</w:t>
            </w:r>
          </w:p>
        </w:tc>
      </w:tr>
      <w:tr>
        <w:tc>
          <w:tcPr>
            <w:tcW w:type="dxa" w:w="2808"/>
            <w:shd w:fill="FFFFFF" w:val="clear"/>
            <w:tcMar>
              <w:top w:type="dxa" w:w="90"/>
              <w:left w:type="dxa" w:w="120"/>
              <w:bottom w:type="dxa" w:w="90"/>
              <w:right w:type="dxa" w:w="120"/>
            </w:tcMar>
            <w:vAlign w:val="center"/>
          </w:tcPr>
          <w:p>
            <w:pPr>
              <w:spacing w:after="0" w:line="258"/>
            </w:pPr>
            <w:r>
              <w:rPr>
                <w:color w:val="1A1A1A"/>
                <w:sz w:val="19"/>
                <w:szCs w:val="19"/>
              </w:rPr>
              <w:t xml:space="preserve">NeoGRC Engineering Club directory</w:t>
            </w:r>
          </w:p>
        </w:tc>
        <w:tc>
          <w:tcPr>
            <w:tcW w:type="dxa" w:w="6552"/>
            <w:shd w:fill="FFFFFF" w:val="clear"/>
            <w:tcMar>
              <w:top w:type="dxa" w:w="90"/>
              <w:left w:type="dxa" w:w="120"/>
              <w:bottom w:type="dxa" w:w="90"/>
              <w:right w:type="dxa" w:w="120"/>
            </w:tcMar>
            <w:vAlign w:val="center"/>
          </w:tcPr>
          <w:p>
            <w:pPr>
              <w:spacing w:after="0" w:line="258"/>
            </w:pPr>
            <w:r>
              <w:rPr>
                <w:color w:val="1A1A1A"/>
                <w:sz w:val="19"/>
                <w:szCs w:val="19"/>
              </w:rPr>
              <w:t xml:space="preserve">Specialisation and framework controlled vocabulary</w:t>
            </w:r>
          </w:p>
        </w:tc>
      </w:tr>
    </w:tbl>
    <w:p>
      <w:pPr>
        <w:spacing w:after="140" w:line="276"/>
      </w:pPr>
      <w:r>
        <w:rPr>
          <w:i/>
          <w:iCs/>
          <w:color w:val="4A5C6A"/>
          <w:sz w:val="21"/>
          <w:szCs w:val="21"/>
        </w:rPr>
        <w:t xml:space="preserve">This application is not affiliated with, or endorsed by, any of the above.</w:t>
      </w:r>
    </w:p>
    <w:p>
      <w:pPr>
        <w:pStyle w:val="Heading1"/>
        <w:pageBreakBefore/>
        <w:pBdr>
          <w:bottom w:val="single" w:color="1B6E7D" w:sz="10" w:space="8"/>
        </w:pBdr>
        <w:spacing w:after="240" w:before="0"/>
      </w:pPr>
      <w:r>
        <w:rPr>
          <w:b/>
          <w:bCs/>
          <w:color w:val="12314F"/>
          <w:sz w:val="36"/>
          <w:szCs w:val="36"/>
        </w:rPr>
        <w:t xml:space="preserve">10  Extending the application</w:t>
      </w:r>
    </w:p>
    <w:p>
      <w:pPr>
        <w:pStyle w:val="Heading2"/>
        <w:spacing w:after="140" w:before="320"/>
      </w:pPr>
      <w:r>
        <w:rPr>
          <w:b/>
          <w:bCs/>
          <w:color w:val="12314F"/>
          <w:sz w:val="26"/>
          <w:szCs w:val="26"/>
        </w:rPr>
        <w:t xml:space="preserve">10.1  Adding a connector</w:t>
      </w:r>
    </w:p>
    <w:p>
      <w:pPr>
        <w:pStyle w:val="ListParagraph"/>
        <w:numPr>
          <w:ilvl w:val="0"/>
          <w:numId w:val="5"/>
        </w:numPr>
        <w:spacing w:after="110" w:line="264"/>
      </w:pPr>
      <w:r>
        <w:rPr>
          <w:sz w:val="21"/>
          <w:szCs w:val="21"/>
        </w:rPr>
        <w:t xml:space="preserve">Create a GRC Connector: identifier, handler type, auth mode, required binaries and environment variables, cache TTL.</w:t>
      </w:r>
    </w:p>
    <w:p>
      <w:pPr>
        <w:pStyle w:val="ListParagraph"/>
        <w:numPr>
          <w:ilvl w:val="0"/>
          <w:numId w:val="5"/>
        </w:numPr>
        <w:spacing w:after="110" w:line="264"/>
      </w:pPr>
      <w:r>
        <w:rPr>
          <w:sz w:val="21"/>
          <w:szCs w:val="21"/>
        </w:rPr>
        <w:t xml:space="preserve">For shell handlers, set script_root to the directory holding the collection scripts. It is not seeded and must be set deliberately.</w:t>
      </w:r>
    </w:p>
    <w:p>
      <w:pPr>
        <w:pStyle w:val="ListParagraph"/>
        <w:numPr>
          <w:ilvl w:val="0"/>
          <w:numId w:val="5"/>
        </w:numPr>
        <w:spacing w:after="110" w:line="264"/>
      </w:pPr>
      <w:r>
        <w:rPr>
          <w:sz w:val="21"/>
          <w:szCs w:val="21"/>
        </w:rPr>
        <w:t xml:space="preserve">Create a GRC Evidence Fetcher for each check, with its script or handler path.</w:t>
      </w:r>
    </w:p>
    <w:p>
      <w:pPr>
        <w:pStyle w:val="ListParagraph"/>
        <w:numPr>
          <w:ilvl w:val="0"/>
          <w:numId w:val="5"/>
        </w:numPr>
        <w:spacing w:after="110" w:line="264"/>
      </w:pPr>
      <w:r>
        <w:rPr>
          <w:sz w:val="21"/>
          <w:szCs w:val="21"/>
        </w:rPr>
        <w:t xml:space="preserve">Map each fetcher to canonical controls in its control link table.</w:t>
      </w:r>
    </w:p>
    <w:p>
      <w:pPr>
        <w:pStyle w:val="ListParagraph"/>
        <w:numPr>
          <w:ilvl w:val="0"/>
          <w:numId w:val="5"/>
        </w:numPr>
        <w:spacing w:after="110" w:line="264"/>
      </w:pPr>
      <w:r>
        <w:rPr>
          <w:sz w:val="21"/>
          <w:szCs w:val="21"/>
        </w:rPr>
        <w:t xml:space="preserve">Add validation rules. Without them the fetcher records inconclusive.</w:t>
      </w:r>
    </w:p>
    <w:p>
      <w:pPr>
        <w:pStyle w:val="ListParagraph"/>
        <w:numPr>
          <w:ilvl w:val="0"/>
          <w:numId w:val="5"/>
        </w:numPr>
        <w:spacing w:after="110" w:line="264"/>
      </w:pPr>
      <w:r>
        <w:rPr>
          <w:sz w:val="21"/>
          <w:szCs w:val="21"/>
        </w:rPr>
        <w:t xml:space="preserve">Run Preflight Check from the connector, then run one fetcher in isolation.</w:t>
      </w:r>
    </w:p>
    <w:p>
      <w:pPr>
        <w:pStyle w:val="ListParagraph"/>
        <w:numPr>
          <w:ilvl w:val="0"/>
          <w:numId w:val="5"/>
        </w:numPr>
        <w:spacing w:after="110" w:line="264"/>
      </w:pPr>
      <w:r>
        <w:rPr>
          <w:sz w:val="21"/>
          <w:szCs w:val="21"/>
        </w:rPr>
        <w:t xml:space="preserve">Add the fetcher to an evidence set and set a schedule.</w:t>
      </w:r>
    </w:p>
    <w:p>
      <w:pPr>
        <w:pStyle w:val="Heading2"/>
        <w:spacing w:after="140" w:before="320"/>
      </w:pPr>
      <w:r>
        <w:rPr>
          <w:b/>
          <w:bCs/>
          <w:color w:val="12314F"/>
          <w:sz w:val="26"/>
          <w:szCs w:val="26"/>
        </w:rPr>
        <w:t xml:space="preserve">10.2  Adding a framework</w:t>
      </w:r>
    </w:p>
    <w:p>
      <w:pPr>
        <w:pStyle w:val="ListParagraph"/>
        <w:numPr>
          <w:ilvl w:val="0"/>
          <w:numId w:val="6"/>
        </w:numPr>
        <w:spacing w:after="110" w:line="264"/>
      </w:pPr>
      <w:r>
        <w:rPr>
          <w:sz w:val="21"/>
          <w:szCs w:val="21"/>
        </w:rPr>
        <w:t xml:space="preserve">Create a GRC Framework record with its code, version and attribution note.</w:t>
      </w:r>
    </w:p>
    <w:p>
      <w:pPr>
        <w:pStyle w:val="ListParagraph"/>
        <w:numPr>
          <w:ilvl w:val="0"/>
          <w:numId w:val="6"/>
        </w:numPr>
        <w:spacing w:after="110" w:line="264"/>
      </w:pPr>
      <w:r>
        <w:rPr>
          <w:sz w:val="21"/>
          <w:szCs w:val="21"/>
        </w:rPr>
        <w:t xml:space="preserve">Load its controls, at minimum identifiers and titles.</w:t>
      </w:r>
    </w:p>
    <w:p>
      <w:pPr>
        <w:pStyle w:val="ListParagraph"/>
        <w:numPr>
          <w:ilvl w:val="0"/>
          <w:numId w:val="6"/>
        </w:numPr>
        <w:spacing w:after="110" w:line="264"/>
      </w:pPr>
      <w:r>
        <w:rPr>
          <w:sz w:val="21"/>
          <w:szCs w:val="21"/>
        </w:rPr>
        <w:t xml:space="preserve">Create crosswalk edges from canonical controls to the new framework's controls.</w:t>
      </w:r>
    </w:p>
    <w:p>
      <w:pPr>
        <w:pStyle w:val="ListParagraph"/>
        <w:numPr>
          <w:ilvl w:val="0"/>
          <w:numId w:val="6"/>
        </w:numPr>
        <w:spacing w:after="110" w:line="264"/>
      </w:pPr>
      <w:r>
        <w:rPr>
          <w:sz w:val="21"/>
          <w:szCs w:val="21"/>
        </w:rPr>
        <w:t xml:space="preserve">Add the framework to a gap assessment scope and run it.</w:t>
      </w:r>
    </w:p>
    <w:p>
      <w:pPr>
        <w:spacing w:after="140" w:line="276"/>
      </w:pPr>
      <w:r>
        <w:rPr>
          <w:color w:val="1A1A1A"/>
          <w:sz w:val="21"/>
          <w:szCs w:val="21"/>
        </w:rPr>
        <w:t xml:space="preserve">No connector is modified and no evidence is re-collected. Existing findings begin answering the new framework as soon as the crosswalk edges exist — this is the payoff for the canonical pivot described in section 2.1.</w:t>
      </w:r>
    </w:p>
    <w:p>
      <w:pPr>
        <w:pStyle w:val="Heading2"/>
        <w:spacing w:after="140" w:before="320"/>
      </w:pPr>
      <w:r>
        <w:rPr>
          <w:b/>
          <w:bCs/>
          <w:color w:val="12314F"/>
          <w:sz w:val="26"/>
          <w:szCs w:val="26"/>
        </w:rPr>
        <w:t xml:space="preserve">10.3  Development checks</w:t>
      </w:r>
    </w:p>
    <w:p>
      <w:pPr>
        <w:pBdr>
          <w:left w:val="single" w:color="1B6E7D" w:sz="14" w:space="10"/>
        </w:pBdr>
        <w:shd w:fill="F7F6F3" w:val="clear"/>
        <w:spacing w:after="170" w:before="130"/>
        <w:ind w:left="160" w:right="120"/>
      </w:pPr>
      <w:r>
        <w:rPr>
          <w:rFonts w:ascii="Consolas" w:cs="Consolas" w:eastAsia="Consolas" w:hAnsi="Consolas"/>
          <w:color w:val="24303B"/>
          <w:sz w:val="18"/>
          <w:szCs w:val="18"/>
        </w:rPr>
        <w:t xml:space="preserve">python3 verify_tree.py                 # structural + licensing guard</w:t>
      </w:r>
      <w:r>
        <w:br/>
      </w:r>
      <w:r>
        <w:rPr>
          <w:rFonts w:ascii="Consolas" w:cs="Consolas" w:eastAsia="Consolas" w:hAnsi="Consolas"/>
          <w:color w:val="24303B"/>
          <w:sz w:val="18"/>
          <w:szCs w:val="18"/>
        </w:rPr>
        <w:t xml:space="preserve">python3 tests/test_offline_logic.py    # contract + rule engine, no bench</w:t>
      </w:r>
      <w:r>
        <w:br/>
      </w:r>
      <w:r>
        <w:rPr>
          <w:rFonts w:ascii="Consolas" w:cs="Consolas" w:eastAsia="Consolas" w:hAnsi="Consolas"/>
          <w:color w:val="24303B"/>
          <w:sz w:val="18"/>
          <w:szCs w:val="18"/>
        </w:rPr>
        <w:t xml:space="preserve">bench --site yoursite run-tests --app neogrc</w:t>
      </w:r>
    </w:p>
    <w:p>
      <w:pPr>
        <w:spacing w:after="140" w:line="276"/>
      </w:pPr>
      <w:r>
        <w:rPr>
          <w:color w:val="1A1A1A"/>
          <w:sz w:val="21"/>
          <w:szCs w:val="21"/>
        </w:rPr>
        <w:t xml:space="preserve">verify_tree.py checks field-order consistency against declared fields, link and child-table targets, patch placement and resolution, hooks references, permission guards on every whitelisted method, seed-data referential integrity, and the absence of committed Server Scripts.</w:t>
      </w:r>
    </w:p>
    <w:p>
      <w:pPr>
        <w:spacing w:after="140" w:line="276"/>
      </w:pPr>
      <w:r>
        <w:rPr>
          <w:color w:val="1A1A1A"/>
          <w:sz w:val="21"/>
          <w:szCs w:val="21"/>
        </w:rPr>
        <w:t xml:space="preserve">test_offline_logic.py runs the contract validator and rule engine against a minimal Frappe stub — 34 assertions, no bench and no database. These two modules decide whether a compliance record is auditable, so they are worth being able to test in a pipeline that has no site.</w:t>
      </w:r>
    </w:p>
    <w:p>
      <w:pPr>
        <w:pStyle w:val="Heading2"/>
        <w:spacing w:after="140" w:before="320"/>
      </w:pPr>
      <w:r>
        <w:rPr>
          <w:b/>
          <w:bCs/>
          <w:color w:val="12314F"/>
          <w:sz w:val="26"/>
          <w:szCs w:val="26"/>
        </w:rPr>
        <w:t xml:space="preserve">10.4  Suggested next steps</w:t>
      </w:r>
    </w:p>
    <w:tbl>
      <w:tblPr>
        <w:tblW w:type="dxa" w:w="9360"/>
        <w:tblBorders>
          <w:top w:val="single" w:color="C9D0D6" w:sz="4"/>
          <w:left w:val="none"/>
          <w:bottom w:val="single" w:color="C9D0D6" w:sz="4"/>
          <w:right w:val="none"/>
          <w:insideH w:val="single" w:color="DDE2E6" w:sz="2"/>
          <w:insideV w:val="none"/>
        </w:tblBorders>
      </w:tblPr>
      <w:tblGrid>
        <w:gridCol w:w="3370"/>
        <w:gridCol w:w="5990"/>
      </w:tblGrid>
      <w:tr>
        <w:trPr>
          <w:tblHeader/>
        </w:trPr>
        <w:tc>
          <w:tcPr>
            <w:tcW w:type="dxa" w:w="3370"/>
            <w:shd w:fill="12314F" w:val="clear"/>
            <w:tcMar>
              <w:top w:type="dxa" w:w="90"/>
              <w:left w:type="dxa" w:w="120"/>
              <w:bottom w:type="dxa" w:w="90"/>
              <w:right w:type="dxa" w:w="120"/>
            </w:tcMar>
            <w:vAlign w:val="center"/>
          </w:tcPr>
          <w:p>
            <w:pPr>
              <w:spacing w:after="0" w:line="258"/>
            </w:pPr>
            <w:r>
              <w:rPr>
                <w:b/>
                <w:bCs/>
                <w:color w:val="FFFFFF"/>
                <w:sz w:val="18"/>
                <w:szCs w:val="18"/>
              </w:rPr>
              <w:t xml:space="preserve">Item</w:t>
            </w:r>
          </w:p>
        </w:tc>
        <w:tc>
          <w:tcPr>
            <w:tcW w:type="dxa" w:w="5990"/>
            <w:shd w:fill="12314F" w:val="clear"/>
            <w:tcMar>
              <w:top w:type="dxa" w:w="90"/>
              <w:left w:type="dxa" w:w="120"/>
              <w:bottom w:type="dxa" w:w="90"/>
              <w:right w:type="dxa" w:w="120"/>
            </w:tcMar>
            <w:vAlign w:val="center"/>
          </w:tcPr>
          <w:p>
            <w:pPr>
              <w:spacing w:after="0" w:line="258"/>
            </w:pPr>
            <w:r>
              <w:rPr>
                <w:b/>
                <w:bCs/>
                <w:color w:val="FFFFFF"/>
                <w:sz w:val="18"/>
                <w:szCs w:val="18"/>
              </w:rPr>
              <w:t xml:space="preserve">Why</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Narrow the derived ECC and CSF mappings</w:t>
            </w:r>
          </w:p>
        </w:tc>
        <w:tc>
          <w:tcPr>
            <w:tcW w:type="dxa" w:w="5990"/>
            <w:shd w:fill="FFFFFF" w:val="clear"/>
            <w:tcMar>
              <w:top w:type="dxa" w:w="90"/>
              <w:left w:type="dxa" w:w="120"/>
              <w:bottom w:type="dxa" w:w="90"/>
              <w:right w:type="dxa" w:w="120"/>
            </w:tcMar>
            <w:vAlign w:val="center"/>
          </w:tcPr>
          <w:p>
            <w:pPr>
              <w:spacing w:after="0" w:line="258"/>
            </w:pPr>
            <w:r>
              <w:rPr>
                <w:color w:val="1A1A1A"/>
                <w:sz w:val="19"/>
                <w:szCs w:val="19"/>
              </w:rPr>
              <w:t xml:space="preserve">910 edges are family-level and do not carry coverage until checked at control level</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Load licensed NCA ECC-2 control text</w:t>
            </w:r>
          </w:p>
        </w:tc>
        <w:tc>
          <w:tcPr>
            <w:tcW w:type="dxa" w:w="5990"/>
            <w:shd w:fill="F7F6F3" w:val="clear"/>
            <w:tcMar>
              <w:top w:type="dxa" w:w="90"/>
              <w:left w:type="dxa" w:w="120"/>
              <w:bottom w:type="dxa" w:w="90"/>
              <w:right w:type="dxa" w:w="120"/>
            </w:tcMar>
            <w:vAlign w:val="center"/>
          </w:tcPr>
          <w:p>
            <w:pPr>
              <w:spacing w:after="0" w:line="258"/>
            </w:pPr>
            <w:r>
              <w:rPr>
                <w:color w:val="1A1A1A"/>
                <w:sz w:val="19"/>
                <w:szCs w:val="19"/>
              </w:rPr>
              <w:t xml:space="preserve">The 193 ECC codes and structure are real, but titles and objectives need your licensed copy</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Enable and credential one cloud connector</w:t>
            </w:r>
          </w:p>
        </w:tc>
        <w:tc>
          <w:tcPr>
            <w:tcW w:type="dxa" w:w="5990"/>
            <w:shd w:fill="FFFFFF" w:val="clear"/>
            <w:tcMar>
              <w:top w:type="dxa" w:w="90"/>
              <w:left w:type="dxa" w:w="120"/>
              <w:bottom w:type="dxa" w:w="90"/>
              <w:right w:type="dxa" w:w="120"/>
            </w:tcMar>
            <w:vAlign w:val="center"/>
          </w:tcPr>
          <w:p>
            <w:pPr>
              <w:spacing w:after="0" w:line="258"/>
            </w:pPr>
            <w:r>
              <w:rPr>
                <w:color w:val="1A1A1A"/>
                <w:sz w:val="19"/>
                <w:szCs w:val="19"/>
              </w:rPr>
              <w:t xml:space="preserve">Internal evidence alone cannot lift coverage past the site boundary</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Populate the risk register</w:t>
            </w:r>
          </w:p>
        </w:tc>
        <w:tc>
          <w:tcPr>
            <w:tcW w:type="dxa" w:w="5990"/>
            <w:shd w:fill="F7F6F3" w:val="clear"/>
            <w:tcMar>
              <w:top w:type="dxa" w:w="90"/>
              <w:left w:type="dxa" w:w="120"/>
              <w:bottom w:type="dxa" w:w="90"/>
              <w:right w:type="dxa" w:w="120"/>
            </w:tcMar>
            <w:vAlign w:val="center"/>
          </w:tcPr>
          <w:p>
            <w:pPr>
              <w:spacing w:after="0" w:line="258"/>
            </w:pPr>
            <w:r>
              <w:rPr>
                <w:color w:val="1A1A1A"/>
                <w:sz w:val="19"/>
                <w:szCs w:val="19"/>
              </w:rPr>
              <w:t xml:space="preserve">Findings gain business context when they link to a scored risk</w:t>
            </w:r>
          </w:p>
        </w:tc>
      </w:tr>
      <w:tr>
        <w:tc>
          <w:tcPr>
            <w:tcW w:type="dxa" w:w="3370"/>
            <w:shd w:fill="FFFFFF" w:val="clear"/>
            <w:tcMar>
              <w:top w:type="dxa" w:w="90"/>
              <w:left w:type="dxa" w:w="120"/>
              <w:bottom w:type="dxa" w:w="90"/>
              <w:right w:type="dxa" w:w="120"/>
            </w:tcMar>
            <w:vAlign w:val="center"/>
          </w:tcPr>
          <w:p>
            <w:pPr>
              <w:spacing w:after="0" w:line="258"/>
            </w:pPr>
            <w:r>
              <w:rPr>
                <w:color w:val="1A1A1A"/>
                <w:sz w:val="19"/>
                <w:szCs w:val="19"/>
              </w:rPr>
              <w:t xml:space="preserve">Set review cadences on policies and vendors</w:t>
            </w:r>
          </w:p>
        </w:tc>
        <w:tc>
          <w:tcPr>
            <w:tcW w:type="dxa" w:w="5990"/>
            <w:shd w:fill="FFFFFF" w:val="clear"/>
            <w:tcMar>
              <w:top w:type="dxa" w:w="90"/>
              <w:left w:type="dxa" w:w="120"/>
              <w:bottom w:type="dxa" w:w="90"/>
              <w:right w:type="dxa" w:w="120"/>
            </w:tcMar>
            <w:vAlign w:val="center"/>
          </w:tcPr>
          <w:p>
            <w:pPr>
              <w:spacing w:after="0" w:line="258"/>
            </w:pPr>
            <w:r>
              <w:rPr>
                <w:color w:val="1A1A1A"/>
                <w:sz w:val="19"/>
                <w:szCs w:val="19"/>
              </w:rPr>
              <w:t xml:space="preserve">Three internal fetchers evidence GRC hygiene and need cadence data to assess against</w:t>
            </w:r>
          </w:p>
        </w:tc>
      </w:tr>
      <w:tr>
        <w:tc>
          <w:tcPr>
            <w:tcW w:type="dxa" w:w="3370"/>
            <w:shd w:fill="F7F6F3" w:val="clear"/>
            <w:tcMar>
              <w:top w:type="dxa" w:w="90"/>
              <w:left w:type="dxa" w:w="120"/>
              <w:bottom w:type="dxa" w:w="90"/>
              <w:right w:type="dxa" w:w="120"/>
            </w:tcMar>
            <w:vAlign w:val="center"/>
          </w:tcPr>
          <w:p>
            <w:pPr>
              <w:spacing w:after="0" w:line="258"/>
            </w:pPr>
            <w:r>
              <w:rPr>
                <w:color w:val="1A1A1A"/>
                <w:sz w:val="19"/>
                <w:szCs w:val="19"/>
              </w:rPr>
              <w:t xml:space="preserve">Schedule the quarterly cloud set</w:t>
            </w:r>
          </w:p>
        </w:tc>
        <w:tc>
          <w:tcPr>
            <w:tcW w:type="dxa" w:w="5990"/>
            <w:shd w:fill="F7F6F3" w:val="clear"/>
            <w:tcMar>
              <w:top w:type="dxa" w:w="90"/>
              <w:left w:type="dxa" w:w="120"/>
              <w:bottom w:type="dxa" w:w="90"/>
              <w:right w:type="dxa" w:w="120"/>
            </w:tcMar>
            <w:vAlign w:val="center"/>
          </w:tcPr>
          <w:p>
            <w:pPr>
              <w:spacing w:after="0" w:line="258"/>
            </w:pPr>
            <w:r>
              <w:rPr>
                <w:color w:val="1A1A1A"/>
                <w:sz w:val="19"/>
                <w:szCs w:val="19"/>
              </w:rPr>
              <w:t xml:space="preserve">Quarterly cadence suits posture evidence that changes slowly but must be shown as current</w:t>
            </w:r>
          </w:p>
        </w:tc>
      </w:tr>
    </w:tbl>
    <w:p>
      <w:pPr>
        <w:spacing w:after="400"/>
      </w:pPr>
    </w:p>
    <w:p>
      <w:pPr>
        <w:pBdr>
          <w:top w:val="single" w:color="1B6E7D" w:sz="8" w:space="10"/>
        </w:pBdr>
        <w:spacing w:before="400"/>
      </w:pPr>
    </w:p>
    <w:p>
      <w:pPr>
        <w:spacing w:after="140" w:line="276"/>
        <w:jc w:val="center"/>
      </w:pPr>
      <w:r>
        <w:rPr>
          <w:color w:val="4A5C6A"/>
          <w:sz w:val="21"/>
          <w:szCs w:val="21"/>
        </w:rPr>
        <w:t xml:space="preserve">Neotec Integrated Solutions · Riyadh, Kingdom of Saudi Arabia · support@neotec.ai</w:t>
      </w:r>
    </w:p>
    <w:p>
      <w:pPr>
        <w:spacing w:after="140" w:line="276"/>
        <w:jc w:val="center"/>
      </w:pPr>
      <w:r>
        <w:rPr>
          <w:color w:val="4A5C6A"/>
          <w:sz w:val="21"/>
          <w:szCs w:val="21"/>
        </w:rPr>
        <w:t xml:space="preserve">NeoGRC v0.2.0 — Implementor Manual — 12 August 2026</w:t>
      </w:r>
    </w:p>
    <w:sectPr>
      <w:headerReference w:type="default" r:id="rId7"/>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C6A"/>
        <w:sz w:val="15"/>
        <w:szCs w:val="15"/>
      </w:rPr>
      <w:t xml:space="preserve">Neotec Integrated Solutions</w:t>
    </w:r>
    <w:r>
      <w:rPr>
        <w:sz w:val="15"/>
        <w:szCs w:val="15"/>
      </w:rPr>
      <w:t xml:space="preserve">          </w:t>
    </w:r>
    <w:r>
      <w:rPr>
        <w:color w:val="4A5C6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8160"/>
      <w:gridCol w:w="1200"/>
    </w:tblGrid>
    <w:tr>
      <w:tc>
        <w:tcPr>
          <w:tcW w:type="dxa" w:w="8160"/>
          <w:tcMar>
            <w:top w:type="dxa" w:w="0"/>
            <w:left w:type="dxa" w:w="0"/>
            <w:bottom w:type="dxa" w:w="60"/>
            <w:right w:type="dxa" w:w="0"/>
          </w:tcMar>
        </w:tcPr>
        <w:p>
          <w:pPr>
            <w:spacing w:after="0"/>
          </w:pPr>
          <w:r>
            <w:rPr>
              <w:color w:val="4A5C6A"/>
              <w:sz w:val="16"/>
              <w:szCs w:val="16"/>
            </w:rPr>
            <w:t xml:space="preserve">NeoGRC — Implementor Manual</w:t>
          </w:r>
        </w:p>
      </w:tc>
      <w:tc>
        <w:tcPr>
          <w:tcW w:type="dxa" w:w="1200"/>
          <w:tcMar>
            <w:top w:type="dxa" w:w="0"/>
            <w:left w:type="dxa" w:w="0"/>
            <w:bottom w:type="dxa" w:w="60"/>
            <w:right w:type="dxa" w:w="0"/>
          </w:tcMar>
        </w:tcPr>
        <w:p>
          <w:pPr>
            <w:spacing w:after="0"/>
            <w:jc w:val="right"/>
          </w:pPr>
          <w:r>
            <w:rPr>
              <w:color w:val="4A5C6A"/>
              <w:sz w:val="16"/>
              <w:szCs w:val="16"/>
            </w:rPr>
            <w:t xml:space="preserve">v0.2.0</w:t>
          </w:r>
        </w:p>
      </w:tc>
    </w:tr>
  </w:tbl>
  <w:p>
    <w:pPr>
      <w:pBdr>
        <w:top w:val="single" w:color="C9D0D6" w:sz="4" w:space="2"/>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lvl w:ilvl="1" w15:tentative="1">
      <w:start w:val="1"/>
      <w:numFmt w:val="bullet"/>
      <w:lvlText w:val="–"/>
      <w:lvlJc w:val="left"/>
      <w:pPr>
        <w:ind w:left="74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c9d578e600966181b01cd50e214eddd0cdb5ee.png"/><Relationship Id="rId10" Type="http://schemas.openxmlformats.org/officeDocument/2006/relationships/image" Target="media/754d5175277930d137d49584c56603d5d4eafc5d.png"/><Relationship Id="rId11" Type="http://schemas.openxmlformats.org/officeDocument/2006/relationships/image" Target="media/49b236d49aca1e778008ced305c6e9c145c35995.png"/><Relationship Id="rId12" Type="http://schemas.openxmlformats.org/officeDocument/2006/relationships/image" Target="media/61f753e29a40757f7c467166f6e27a2195362af5.png"/><Relationship Id="rId13" Type="http://schemas.openxmlformats.org/officeDocument/2006/relationships/image" Target="media/75b4d1ac1bd0ce3714b95bc1c2bf08517e29f90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NeoGRC — Implementor Manual</dc:title>
  <dc:creator>Neotec Integrated Solutions</dc:creator>
  <dc:description>Implementor manual for the NeoGRC Frappe application, version 0.1.0</dc:description>
  <cp:lastModifiedBy>Un-named</cp:lastModifiedBy>
  <cp:revision>1</cp:revision>
  <dcterms:created xsi:type="dcterms:W3CDTF">2026-08-12T08:54:32.017Z</dcterms:created>
  <dcterms:modified xsi:type="dcterms:W3CDTF">2026-08-12T08:54:32.017Z</dcterms:modified>
</cp:coreProperties>
</file>

<file path=docProps/custom.xml><?xml version="1.0" encoding="utf-8"?>
<Properties xmlns="http://schemas.openxmlformats.org/officeDocument/2006/custom-properties" xmlns:vt="http://schemas.openxmlformats.org/officeDocument/2006/docPropsVTypes"/>
</file>