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1B6E7D"/>
          <w:spacing w:val="60"/>
          <w:sz w:val="20"/>
          <w:szCs w:val="20"/>
        </w:rPr>
        <w:t xml:space="preserve">NEOTEC INTEGRATED SOLUTIONS</w:t>
      </w:r>
    </w:p>
    <w:p>
      <w:pPr>
        <w:pBdr>
          <w:bottom w:val="single" w:color="12314F" w:sz="12" w:space="10"/>
        </w:pBdr>
        <w:spacing w:after="500" w:before="60"/>
      </w:pPr>
    </w:p>
    <w:p>
      <w:pPr>
        <w:spacing w:after="60"/>
      </w:pPr>
      <w:r>
        <w:rPr>
          <w:b/>
          <w:bCs/>
          <w:color w:val="12314F"/>
          <w:sz w:val="66"/>
          <w:szCs w:val="66"/>
        </w:rPr>
        <w:t xml:space="preserve">NeoGRC</w:t>
      </w:r>
    </w:p>
    <w:p>
      <w:pPr>
        <w:spacing w:after="420"/>
      </w:pPr>
      <w:r>
        <w:rPr>
          <w:color w:val="4A5C6A"/>
          <w:sz w:val="40"/>
          <w:szCs w:val="40"/>
        </w:rPr>
        <w:t xml:space="preserve">Test Tour</w:t>
      </w:r>
    </w:p>
    <w:p>
      <w:pPr>
        <w:spacing w:after="120"/>
      </w:pPr>
      <w:r>
        <w:rPr>
          <w:i/>
          <w:iCs/>
          <w:color w:val="4A5C6A"/>
          <w:sz w:val="24"/>
          <w:szCs w:val="24"/>
        </w:rPr>
        <w:t xml:space="preserve">A guided pass through every subsystem, using the demo dataset</w:t>
      </w:r>
    </w:p>
    <w:p>
      <w:pPr>
        <w:spacing w:after="1400"/>
      </w:pPr>
      <w:r>
        <w:rPr>
          <w:color w:val="4A5C6A"/>
          <w:sz w:val="20"/>
          <w:szCs w:val="20"/>
        </w:rPr>
        <w:t xml:space="preserve">Roughly 45 minutes end to end · run on a scratch site, never production</w:t>
      </w:r>
    </w:p>
    <w:tbl>
      <w:tblPr>
        <w:tblW w:type="dxa" w:w="9360"/>
        <w:tblBorders>
          <w:top w:val="none"/>
          <w:left w:val="none"/>
          <w:bottom w:val="none"/>
          <w:right w:val="none"/>
          <w:insideH w:val="none"/>
          <w:insideV w:val="none"/>
        </w:tblBorders>
      </w:tblPr>
      <w:tblGrid>
        <w:gridCol w:w="2100"/>
        <w:gridCol w:w="7260"/>
      </w:tblGrid>
      <w:tr>
        <w:tc>
          <w:tcPr>
            <w:tcW w:type="dxa" w:w="2100"/>
            <w:tcMar>
              <w:top w:type="dxa" w:w="40"/>
              <w:left w:type="dxa" w:w="0"/>
              <w:bottom w:type="dxa" w:w="40"/>
              <w:right w:type="dxa" w:w="60"/>
            </w:tcMar>
          </w:tcPr>
          <w:p>
            <w:pPr>
              <w:spacing w:after="0"/>
            </w:pPr>
            <w:r>
              <w:rPr>
                <w:color w:val="4A5C6A"/>
                <w:sz w:val="18"/>
                <w:szCs w:val="18"/>
              </w:rPr>
              <w:t xml:space="preserve">Application</w:t>
            </w:r>
          </w:p>
        </w:tc>
        <w:tc>
          <w:tcPr>
            <w:tcW w:type="dxa" w:w="7260"/>
            <w:tcMar>
              <w:top w:type="dxa" w:w="40"/>
              <w:left w:type="dxa" w:w="0"/>
              <w:bottom w:type="dxa" w:w="40"/>
              <w:right w:type="dxa" w:w="0"/>
            </w:tcMar>
          </w:tcPr>
          <w:p>
            <w:pPr>
              <w:spacing w:after="0"/>
            </w:pPr>
            <w:r>
              <w:rPr>
                <w:rFonts w:ascii="Consolas" w:cs="Consolas" w:eastAsia="Consolas" w:hAnsi="Consolas"/>
                <w:sz w:val="18"/>
                <w:szCs w:val="18"/>
              </w:rPr>
              <w:t xml:space="preserve">neogrc</w:t>
            </w:r>
          </w:p>
        </w:tc>
      </w:tr>
      <w:tr>
        <w:tc>
          <w:tcPr>
            <w:tcW w:type="dxa" w:w="2100"/>
            <w:tcMar>
              <w:top w:type="dxa" w:w="40"/>
              <w:left w:type="dxa" w:w="0"/>
              <w:bottom w:type="dxa" w:w="40"/>
              <w:right w:type="dxa" w:w="60"/>
            </w:tcMar>
          </w:tcPr>
          <w:p>
            <w:pPr>
              <w:spacing w:after="0"/>
            </w:pPr>
            <w:r>
              <w:rPr>
                <w:color w:val="4A5C6A"/>
                <w:sz w:val="18"/>
                <w:szCs w:val="18"/>
              </w:rPr>
              <w:t xml:space="preserve">Version</w:t>
            </w:r>
          </w:p>
        </w:tc>
        <w:tc>
          <w:tcPr>
            <w:tcW w:type="dxa" w:w="7260"/>
            <w:tcMar>
              <w:top w:type="dxa" w:w="40"/>
              <w:left w:type="dxa" w:w="0"/>
              <w:bottom w:type="dxa" w:w="40"/>
              <w:right w:type="dxa" w:w="0"/>
            </w:tcMar>
          </w:tcPr>
          <w:p>
            <w:pPr>
              <w:spacing w:after="0"/>
            </w:pPr>
            <w:r>
              <w:rPr>
                <w:sz w:val="18"/>
                <w:szCs w:val="18"/>
              </w:rPr>
              <w:t xml:space="preserve">0.2.0</w:t>
            </w:r>
          </w:p>
        </w:tc>
      </w:tr>
      <w:tr>
        <w:tc>
          <w:tcPr>
            <w:tcW w:type="dxa" w:w="2100"/>
            <w:tcMar>
              <w:top w:type="dxa" w:w="40"/>
              <w:left w:type="dxa" w:w="0"/>
              <w:bottom w:type="dxa" w:w="40"/>
              <w:right w:type="dxa" w:w="60"/>
            </w:tcMar>
          </w:tcPr>
          <w:p>
            <w:pPr>
              <w:spacing w:after="0"/>
            </w:pPr>
            <w:r>
              <w:rPr>
                <w:color w:val="4A5C6A"/>
                <w:sz w:val="18"/>
                <w:szCs w:val="18"/>
              </w:rPr>
              <w:t xml:space="preserve">Demo dataset</w:t>
            </w:r>
          </w:p>
        </w:tc>
        <w:tc>
          <w:tcPr>
            <w:tcW w:type="dxa" w:w="7260"/>
            <w:tcMar>
              <w:top w:type="dxa" w:w="40"/>
              <w:left w:type="dxa" w:w="0"/>
              <w:bottom w:type="dxa" w:w="40"/>
              <w:right w:type="dxa" w:w="0"/>
            </w:tcMar>
          </w:tcPr>
          <w:p>
            <w:pPr>
              <w:spacing w:after="0"/>
            </w:pPr>
            <w:r>
              <w:rPr>
                <w:rFonts w:ascii="Consolas" w:cs="Consolas" w:eastAsia="Consolas" w:hAnsi="Consolas"/>
                <w:sz w:val="18"/>
                <w:szCs w:val="18"/>
              </w:rPr>
              <w:t xml:space="preserve">neogrc.demo.dataset</w:t>
            </w:r>
          </w:p>
        </w:tc>
      </w:tr>
      <w:tr>
        <w:tc>
          <w:tcPr>
            <w:tcW w:type="dxa" w:w="2100"/>
            <w:tcMar>
              <w:top w:type="dxa" w:w="40"/>
              <w:left w:type="dxa" w:w="0"/>
              <w:bottom w:type="dxa" w:w="40"/>
              <w:right w:type="dxa" w:w="60"/>
            </w:tcMar>
          </w:tcPr>
          <w:p>
            <w:pPr>
              <w:spacing w:after="0"/>
            </w:pPr>
            <w:r>
              <w:rPr>
                <w:color w:val="4A5C6A"/>
                <w:sz w:val="18"/>
                <w:szCs w:val="18"/>
              </w:rPr>
              <w:t xml:space="preserve">Demo entity</w:t>
            </w:r>
          </w:p>
        </w:tc>
        <w:tc>
          <w:tcPr>
            <w:tcW w:type="dxa" w:w="7260"/>
            <w:tcMar>
              <w:top w:type="dxa" w:w="40"/>
              <w:left w:type="dxa" w:w="0"/>
              <w:bottom w:type="dxa" w:w="40"/>
              <w:right w:type="dxa" w:w="0"/>
            </w:tcMar>
          </w:tcPr>
          <w:p>
            <w:pPr>
              <w:spacing w:after="0"/>
            </w:pPr>
            <w:r>
              <w:rPr>
                <w:sz w:val="18"/>
                <w:szCs w:val="18"/>
              </w:rPr>
              <w:t xml:space="preserve">Wadi Marine Logistics (fictional)</w:t>
            </w:r>
          </w:p>
        </w:tc>
      </w:tr>
      <w:tr>
        <w:tc>
          <w:tcPr>
            <w:tcW w:type="dxa" w:w="2100"/>
            <w:tcMar>
              <w:top w:type="dxa" w:w="40"/>
              <w:left w:type="dxa" w:w="0"/>
              <w:bottom w:type="dxa" w:w="40"/>
              <w:right w:type="dxa" w:w="60"/>
            </w:tcMar>
          </w:tcPr>
          <w:p>
            <w:pPr>
              <w:spacing w:after="0"/>
            </w:pPr>
            <w:r>
              <w:rPr>
                <w:color w:val="4A5C6A"/>
                <w:sz w:val="18"/>
                <w:szCs w:val="18"/>
              </w:rPr>
              <w:t xml:space="preserve">Document date</w:t>
            </w:r>
          </w:p>
        </w:tc>
        <w:tc>
          <w:tcPr>
            <w:tcW w:type="dxa" w:w="7260"/>
            <w:tcMar>
              <w:top w:type="dxa" w:w="40"/>
              <w:left w:type="dxa" w:w="0"/>
              <w:bottom w:type="dxa" w:w="40"/>
              <w:right w:type="dxa" w:w="0"/>
            </w:tcMar>
          </w:tcPr>
          <w:p>
            <w:pPr>
              <w:spacing w:after="0"/>
            </w:pPr>
            <w:r>
              <w:rPr>
                <w:sz w:val="18"/>
                <w:szCs w:val="18"/>
              </w:rPr>
              <w:t xml:space="preserve">12 August 2026</w:t>
            </w:r>
          </w:p>
        </w:tc>
      </w:tr>
      <w:tr>
        <w:tc>
          <w:tcPr>
            <w:tcW w:type="dxa" w:w="2100"/>
            <w:tcMar>
              <w:top w:type="dxa" w:w="40"/>
              <w:left w:type="dxa" w:w="0"/>
              <w:bottom w:type="dxa" w:w="40"/>
              <w:right w:type="dxa" w:w="60"/>
            </w:tcMar>
          </w:tcPr>
          <w:p>
            <w:pPr>
              <w:spacing w:after="0"/>
            </w:pPr>
            <w:r>
              <w:rPr>
                <w:color w:val="4A5C6A"/>
                <w:sz w:val="18"/>
                <w:szCs w:val="18"/>
              </w:rPr>
              <w:t xml:space="preserve">Audience</w:t>
            </w:r>
          </w:p>
        </w:tc>
        <w:tc>
          <w:tcPr>
            <w:tcW w:type="dxa" w:w="7260"/>
            <w:tcMar>
              <w:top w:type="dxa" w:w="40"/>
              <w:left w:type="dxa" w:w="0"/>
              <w:bottom w:type="dxa" w:w="40"/>
              <w:right w:type="dxa" w:w="0"/>
            </w:tcMar>
          </w:tcPr>
          <w:p>
            <w:pPr>
              <w:spacing w:after="0"/>
            </w:pPr>
            <w:r>
              <w:rPr>
                <w:sz w:val="18"/>
                <w:szCs w:val="18"/>
              </w:rPr>
              <w:t xml:space="preserve">QA, implementation consultants, reviewers</w:t>
            </w:r>
          </w:p>
        </w:tc>
      </w:tr>
    </w:tbl>
    <w:p>
      <w:r>
        <w:br w:type="page"/>
      </w:r>
    </w:p>
    <w:p>
      <w:pPr>
        <w:sectPr>
          <w:pgSz w:w="12240" w:h="15840" w:orient="portrait"/>
          <w:pgMar w:top="1440" w:right="1440" w:bottom="1440" w:left="1440" w:header="708" w:footer="708" w:gutter="0"/>
          <w:pgNumType/>
          <w:docGrid w:linePitch="360"/>
        </w:sectPr>
      </w:pPr>
    </w:p>
    <w:p>
      <w:pPr>
        <w:pStyle w:val="Heading1"/>
        <w:pageBreakBefore/>
        <w:pBdr>
          <w:bottom w:val="single" w:color="1B6E7D" w:sz="10" w:space="8"/>
        </w:pBdr>
        <w:spacing w:after="240" w:before="0"/>
      </w:pPr>
      <w:r>
        <w:rPr>
          <w:b/>
          <w:bCs/>
          <w:color w:val="12314F"/>
          <w:sz w:val="36"/>
          <w:szCs w:val="36"/>
        </w:rPr>
        <w:t xml:space="preserve">0  Setup</w:t>
      </w:r>
    </w:p>
    <w:p>
      <w:pPr>
        <w:spacing w:after="140" w:line="276"/>
      </w:pPr>
      <w:r>
        <w:rPr>
          <w:color w:val="1A1A1A"/>
          <w:sz w:val="21"/>
          <w:szCs w:val="21"/>
        </w:rPr>
        <w:t xml:space="preserve">Every subsystem below is exercised against a single demo dataset. Run it on a scratch site.</w:t>
      </w:r>
    </w:p>
    <w:p>
      <w:pPr>
        <w:pBdr>
          <w:left w:val="single" w:color="1B6E7D" w:sz="14" w:space="10"/>
        </w:pBdr>
        <w:shd w:fill="F7F6F3" w:val="clear"/>
        <w:spacing w:after="170" w:before="130"/>
        <w:ind w:left="160" w:right="120"/>
      </w:pPr>
      <w:r>
        <w:rPr>
          <w:rFonts w:ascii="Consolas" w:cs="Consolas" w:eastAsia="Consolas" w:hAnsi="Consolas"/>
          <w:color w:val="24303B"/>
          <w:sz w:val="18"/>
          <w:szCs w:val="18"/>
        </w:rPr>
        <w:t xml:space="preserve">bench --site testsite install-app neogrc</w:t>
      </w:r>
      <w:r>
        <w:br/>
      </w:r>
      <w:r>
        <w:rPr>
          <w:rFonts w:ascii="Consolas" w:cs="Consolas" w:eastAsia="Consolas" w:hAnsi="Consolas"/>
          <w:color w:val="24303B"/>
          <w:sz w:val="18"/>
          <w:szCs w:val="18"/>
        </w:rPr>
        <w:t xml:space="preserve">bench --site testsite migrate</w:t>
      </w:r>
      <w:r>
        <w:br/>
      </w:r>
      <w:r>
        <w:rPr>
          <w:rFonts w:ascii="Consolas" w:cs="Consolas" w:eastAsia="Consolas" w:hAnsi="Consolas"/>
          <w:color w:val="24303B"/>
          <w:sz w:val="18"/>
          <w:szCs w:val="18"/>
        </w:rPr>
        <w:t xml:space="preserve">bench --site testsite execute neogrc.demo.dataset.install</w:t>
      </w:r>
    </w:p>
    <w:p>
      <w:pPr>
        <w:spacing w:after="140" w:line="276"/>
      </w:pPr>
      <w:r>
        <w:rPr>
          <w:color w:val="1A1A1A"/>
          <w:sz w:val="21"/>
          <w:szCs w:val="21"/>
        </w:rPr>
        <w:t xml:space="preserve">The installer prints a JSON summary. Expect 3 users, 3 policies, 4 vendors, 4 risks, 3 exceptions, 12 metrics, and 9 findings across two batches. Every record it creates is tagged neogrc-demo.</w:t>
      </w:r>
    </w:p>
    <w:p>
      <w:pPr>
        <w:pBdr>
          <w:left w:val="single" w:color="1B6E7D" w:sz="14" w:space="10"/>
        </w:pBdr>
        <w:shd w:fill="F7F6F3" w:val="clear"/>
        <w:spacing w:after="170" w:before="130"/>
        <w:ind w:left="160" w:right="120"/>
      </w:pPr>
      <w:r>
        <w:rPr>
          <w:rFonts w:ascii="Consolas" w:cs="Consolas" w:eastAsia="Consolas" w:hAnsi="Consolas"/>
          <w:color w:val="24303B"/>
          <w:sz w:val="18"/>
          <w:szCs w:val="18"/>
        </w:rPr>
        <w:t xml:space="preserve">bench --site testsite execute neogrc.demo.dataset.purge</w:t>
      </w:r>
    </w:p>
    <w:p>
      <w:pPr>
        <w:spacing w:after="80"/>
      </w:pPr>
    </w:p>
    <w:tbl>
      <w:tblPr>
        <w:tblW w:type="dxa" w:w="9360"/>
        <w:tblBorders>
          <w:top w:val="none"/>
          <w:left w:val="single" w:color="1B6E7D" w:sz="18"/>
          <w:bottom w:val="none"/>
          <w:right w:val="none"/>
          <w:insideH w:val="none"/>
          <w:insideV w:val="none"/>
        </w:tblBorders>
      </w:tblPr>
      <w:tblGrid>
        <w:gridCol w:w="9360"/>
      </w:tblGrid>
      <w:tr>
        <w:tc>
          <w:tcPr>
            <w:tcW w:type="dxa" w:w="9360"/>
            <w:shd w:fill="F2EEE6" w:val="clear"/>
            <w:tcMar>
              <w:top w:type="dxa" w:w="150"/>
              <w:left w:type="dxa" w:w="190"/>
              <w:bottom w:type="dxa" w:w="150"/>
              <w:right w:type="dxa" w:w="190"/>
            </w:tcMar>
          </w:tcPr>
          <w:p>
            <w:pPr>
              <w:spacing w:after="70"/>
            </w:pPr>
            <w:r>
              <w:rPr>
                <w:b/>
                <w:bCs/>
                <w:color w:val="1B6E7D"/>
                <w:sz w:val="20"/>
                <w:szCs w:val="20"/>
              </w:rPr>
              <w:t xml:space="preserve">The demo programme is deliberately imperfect</w:t>
            </w:r>
          </w:p>
          <w:p>
            <w:pPr>
              <w:spacing w:after="0" w:line="268"/>
            </w:pPr>
            <w:r>
              <w:rPr>
                <w:sz w:val="20"/>
                <w:szCs w:val="20"/>
              </w:rPr>
              <w:t xml:space="preserve">Wadi Marine Logistics is a fictional KSA shipping and warehousing operation. Some of its controls pass, some fail, one is evidenced only by a stale run, one carries an approved exception, and most have no evidence at all. A demo where everything is green would not tell you whether the scoring works — it would only tell you the dashboard renders.</w:t>
            </w:r>
          </w:p>
        </w:tc>
      </w:tr>
    </w:tbl>
    <w:p>
      <w:pPr>
        <w:spacing w:after="140" w:line="276"/>
      </w:pPr>
      <w:r>
        <w:rPr>
          <w:color w:val="1A1A1A"/>
          <w:sz w:val="21"/>
          <w:szCs w:val="21"/>
        </w:rPr>
        <w:t xml:space="preserve">Several steps below state what you should NOT see. Those are the ones worth doing carefully: a control that silently passes when it should fail is the failure mode that matters in a compliance tool.</w:t>
      </w:r>
    </w:p>
    <w:p>
      <w:pPr>
        <w:pStyle w:val="Heading1"/>
        <w:pageBreakBefore/>
        <w:pBdr>
          <w:bottom w:val="single" w:color="1B6E7D" w:sz="10" w:space="8"/>
        </w:pBdr>
        <w:spacing w:after="240" w:before="0"/>
      </w:pPr>
      <w:r>
        <w:rPr>
          <w:b/>
          <w:bCs/>
          <w:color w:val="12314F"/>
          <w:sz w:val="36"/>
          <w:szCs w:val="36"/>
        </w:rPr>
        <w:t xml:space="preserve">1  Install integrity</w:t>
      </w:r>
    </w:p>
    <w:tbl>
      <w:tblPr>
        <w:tblW w:type="dxa" w:w="9360"/>
        <w:tblBorders>
          <w:top w:val="single" w:color="C9D0D6" w:sz="4"/>
          <w:left w:val="none"/>
          <w:bottom w:val="single" w:color="C9D0D6" w:sz="4"/>
          <w:right w:val="none"/>
          <w:insideH w:val="single" w:color="DDE2E6" w:sz="2"/>
          <w:insideV w:val="none"/>
        </w:tblBorders>
      </w:tblPr>
      <w:tblGrid>
        <w:gridCol w:w="3557"/>
        <w:gridCol w:w="5803"/>
      </w:tblGrid>
      <w:tr>
        <w:trPr>
          <w:tblHeader/>
        </w:trPr>
        <w:tc>
          <w:tcPr>
            <w:tcW w:type="dxa" w:w="3557"/>
            <w:shd w:fill="12314F" w:val="clear"/>
            <w:tcMar>
              <w:top w:type="dxa" w:w="90"/>
              <w:left w:type="dxa" w:w="120"/>
              <w:bottom w:type="dxa" w:w="90"/>
              <w:right w:type="dxa" w:w="120"/>
            </w:tcMar>
            <w:vAlign w:val="center"/>
          </w:tcPr>
          <w:p>
            <w:pPr>
              <w:spacing w:after="0" w:line="258"/>
            </w:pPr>
            <w:r>
              <w:rPr>
                <w:b/>
                <w:bCs/>
                <w:color w:val="FFFFFF"/>
                <w:sz w:val="18"/>
                <w:szCs w:val="18"/>
              </w:rPr>
              <w:t xml:space="preserve">Do</w:t>
            </w:r>
          </w:p>
        </w:tc>
        <w:tc>
          <w:tcPr>
            <w:tcW w:type="dxa" w:w="5803"/>
            <w:shd w:fill="12314F" w:val="clear"/>
            <w:tcMar>
              <w:top w:type="dxa" w:w="90"/>
              <w:left w:type="dxa" w:w="120"/>
              <w:bottom w:type="dxa" w:w="90"/>
              <w:right w:type="dxa" w:w="120"/>
            </w:tcMar>
            <w:vAlign w:val="center"/>
          </w:tcPr>
          <w:p>
            <w:pPr>
              <w:spacing w:after="0" w:line="258"/>
            </w:pPr>
            <w:r>
              <w:rPr>
                <w:b/>
                <w:bCs/>
                <w:color w:val="FFFFFF"/>
                <w:sz w:val="18"/>
                <w:szCs w:val="18"/>
              </w:rPr>
              <w:t xml:space="preserve">Expect</w:t>
            </w:r>
          </w:p>
        </w:tc>
      </w:tr>
      <w:tr>
        <w:tc>
          <w:tcPr>
            <w:tcW w:type="dxa" w:w="3557"/>
            <w:shd w:fill="FFFFFF" w:val="clear"/>
            <w:tcMar>
              <w:top w:type="dxa" w:w="90"/>
              <w:left w:type="dxa" w:w="120"/>
              <w:bottom w:type="dxa" w:w="90"/>
              <w:right w:type="dxa" w:w="120"/>
            </w:tcMar>
            <w:vAlign w:val="center"/>
          </w:tcPr>
          <w:p>
            <w:pPr>
              <w:spacing w:after="0" w:line="258"/>
            </w:pPr>
            <w:r>
              <w:rPr>
                <w:color w:val="1A1A1A"/>
                <w:sz w:val="19"/>
                <w:szCs w:val="19"/>
              </w:rPr>
              <w:t xml:space="preserve">Open the NeoGRC Engine workspace</w:t>
            </w:r>
          </w:p>
        </w:tc>
        <w:tc>
          <w:tcPr>
            <w:tcW w:type="dxa" w:w="5803"/>
            <w:shd w:fill="FFFFFF" w:val="clear"/>
            <w:tcMar>
              <w:top w:type="dxa" w:w="90"/>
              <w:left w:type="dxa" w:w="120"/>
              <w:bottom w:type="dxa" w:w="90"/>
              <w:right w:type="dxa" w:w="120"/>
            </w:tcMar>
            <w:vAlign w:val="center"/>
          </w:tcPr>
          <w:p>
            <w:pPr>
              <w:spacing w:after="0" w:line="258"/>
            </w:pPr>
            <w:r>
              <w:rPr>
                <w:color w:val="1A1A1A"/>
                <w:sz w:val="19"/>
                <w:szCs w:val="19"/>
              </w:rPr>
              <w:t xml:space="preserve">15 frameworks, 702 controls, 1,121 crosswalk edges, 9 connectors, 38 fetchers, 5 evidence sets</w:t>
            </w:r>
          </w:p>
        </w:tc>
      </w:tr>
      <w:tr>
        <w:tc>
          <w:tcPr>
            <w:tcW w:type="dxa" w:w="3557"/>
            <w:shd w:fill="F7F6F3" w:val="clear"/>
            <w:tcMar>
              <w:top w:type="dxa" w:w="90"/>
              <w:left w:type="dxa" w:w="120"/>
              <w:bottom w:type="dxa" w:w="90"/>
              <w:right w:type="dxa" w:w="120"/>
            </w:tcMar>
            <w:vAlign w:val="center"/>
          </w:tcPr>
          <w:p>
            <w:pPr>
              <w:spacing w:after="0" w:line="258"/>
            </w:pPr>
            <w:r>
              <w:rPr>
                <w:color w:val="1A1A1A"/>
                <w:sz w:val="19"/>
                <w:szCs w:val="19"/>
              </w:rPr>
              <w:t xml:space="preserve">Open NeoGRC Framework, sort by Canonical</w:t>
            </w:r>
          </w:p>
        </w:tc>
        <w:tc>
          <w:tcPr>
            <w:tcW w:type="dxa" w:w="5803"/>
            <w:shd w:fill="F7F6F3" w:val="clear"/>
            <w:tcMar>
              <w:top w:type="dxa" w:w="90"/>
              <w:left w:type="dxa" w:w="120"/>
              <w:bottom w:type="dxa" w:w="90"/>
              <w:right w:type="dxa" w:w="120"/>
            </w:tcMar>
            <w:vAlign w:val="center"/>
          </w:tcPr>
          <w:p>
            <w:pPr>
              <w:spacing w:after="0" w:line="258"/>
            </w:pPr>
            <w:r>
              <w:rPr>
                <w:color w:val="1A1A1A"/>
                <w:sz w:val="19"/>
                <w:szCs w:val="19"/>
              </w:rPr>
              <w:t xml:space="preserve">Exactly one canonical framework, NCC. Two would make the crosswalk pivot ambiguous and everything downstream unreliable</w:t>
            </w:r>
          </w:p>
        </w:tc>
      </w:tr>
      <w:tr>
        <w:tc>
          <w:tcPr>
            <w:tcW w:type="dxa" w:w="3557"/>
            <w:shd w:fill="FFFFFF" w:val="clear"/>
            <w:tcMar>
              <w:top w:type="dxa" w:w="90"/>
              <w:left w:type="dxa" w:w="120"/>
              <w:bottom w:type="dxa" w:w="90"/>
              <w:right w:type="dxa" w:w="120"/>
            </w:tcMar>
            <w:vAlign w:val="center"/>
          </w:tcPr>
          <w:p>
            <w:pPr>
              <w:spacing w:after="0" w:line="258"/>
            </w:pPr>
            <w:r>
              <w:rPr>
                <w:color w:val="1A1A1A"/>
                <w:sz w:val="19"/>
                <w:szCs w:val="19"/>
              </w:rPr>
              <w:t xml:space="preserve">Open NeoGRC Control, filter framework = NCA-ECC-2</w:t>
            </w:r>
          </w:p>
        </w:tc>
        <w:tc>
          <w:tcPr>
            <w:tcW w:type="dxa" w:w="5803"/>
            <w:shd w:fill="FFFFFF" w:val="clear"/>
            <w:tcMar>
              <w:top w:type="dxa" w:w="90"/>
              <w:left w:type="dxa" w:w="120"/>
              <w:bottom w:type="dxa" w:w="90"/>
              <w:right w:type="dxa" w:w="120"/>
            </w:tcMar>
            <w:vAlign w:val="center"/>
          </w:tcPr>
          <w:p>
            <w:pPr>
              <w:spacing w:after="0" w:line="258"/>
            </w:pPr>
            <w:r>
              <w:rPr>
                <w:color w:val="1A1A1A"/>
                <w:sz w:val="19"/>
                <w:szCs w:val="19"/>
              </w:rPr>
              <w:t xml:space="preserve">193 controls, 90 flagged Is Subcontrol, Domain and Subdomain populated</w:t>
            </w:r>
          </w:p>
        </w:tc>
      </w:tr>
      <w:tr>
        <w:tc>
          <w:tcPr>
            <w:tcW w:type="dxa" w:w="3557"/>
            <w:shd w:fill="F7F6F3" w:val="clear"/>
            <w:tcMar>
              <w:top w:type="dxa" w:w="90"/>
              <w:left w:type="dxa" w:w="120"/>
              <w:bottom w:type="dxa" w:w="90"/>
              <w:right w:type="dxa" w:w="120"/>
            </w:tcMar>
            <w:vAlign w:val="center"/>
          </w:tcPr>
          <w:p>
            <w:pPr>
              <w:spacing w:after="0" w:line="258"/>
            </w:pPr>
            <w:r>
              <w:rPr>
                <w:color w:val="1A1A1A"/>
                <w:sz w:val="19"/>
                <w:szCs w:val="19"/>
              </w:rPr>
              <w:t xml:space="preserve">Check 2-8-1 and 2-7-1 specifically</w:t>
            </w:r>
          </w:p>
        </w:tc>
        <w:tc>
          <w:tcPr>
            <w:tcW w:type="dxa" w:w="5803"/>
            <w:shd w:fill="F7F6F3" w:val="clear"/>
            <w:tcMar>
              <w:top w:type="dxa" w:w="90"/>
              <w:left w:type="dxa" w:w="120"/>
              <w:bottom w:type="dxa" w:w="90"/>
              <w:right w:type="dxa" w:w="120"/>
            </w:tcMar>
            <w:vAlign w:val="center"/>
          </w:tcPr>
          <w:p>
            <w:pPr>
              <w:spacing w:after="0" w:line="258"/>
            </w:pPr>
            <w:r>
              <w:rPr>
                <w:color w:val="1A1A1A"/>
                <w:sz w:val="19"/>
                <w:szCs w:val="19"/>
              </w:rPr>
              <w:t xml:space="preserve">2-8-1 under Cryptography, 2-7-1 under Data and Information Protection. These two were transposed in v0.1.0; this confirms the fix</w:t>
            </w:r>
          </w:p>
        </w:tc>
      </w:tr>
      <w:tr>
        <w:tc>
          <w:tcPr>
            <w:tcW w:type="dxa" w:w="3557"/>
            <w:shd w:fill="FFFFFF" w:val="clear"/>
            <w:tcMar>
              <w:top w:type="dxa" w:w="90"/>
              <w:left w:type="dxa" w:w="120"/>
              <w:bottom w:type="dxa" w:w="90"/>
              <w:right w:type="dxa" w:w="120"/>
            </w:tcMar>
            <w:vAlign w:val="center"/>
          </w:tcPr>
          <w:p>
            <w:pPr>
              <w:spacing w:after="0" w:line="258"/>
            </w:pPr>
            <w:r>
              <w:rPr>
                <w:color w:val="1A1A1A"/>
                <w:sz w:val="19"/>
                <w:szCs w:val="19"/>
              </w:rPr>
              <w:t xml:space="preserve">Run bench migrate a second time</w:t>
            </w:r>
          </w:p>
        </w:tc>
        <w:tc>
          <w:tcPr>
            <w:tcW w:type="dxa" w:w="5803"/>
            <w:shd w:fill="FFFFFF" w:val="clear"/>
            <w:tcMar>
              <w:top w:type="dxa" w:w="90"/>
              <w:left w:type="dxa" w:w="120"/>
              <w:bottom w:type="dxa" w:w="90"/>
              <w:right w:type="dxa" w:w="120"/>
            </w:tcMar>
            <w:vAlign w:val="center"/>
          </w:tcPr>
          <w:p>
            <w:pPr>
              <w:spacing w:after="0" w:line="258"/>
            </w:pPr>
            <w:r>
              <w:rPr>
                <w:color w:val="1A1A1A"/>
                <w:sz w:val="19"/>
                <w:szCs w:val="19"/>
              </w:rPr>
              <w:t xml:space="preserve">Counts unchanged. Duplicates would mean a seeder uniqueness key is wrong</w:t>
            </w:r>
          </w:p>
        </w:tc>
      </w:tr>
    </w:tbl>
    <w:p>
      <w:pPr>
        <w:pStyle w:val="Heading1"/>
        <w:pageBreakBefore/>
        <w:pBdr>
          <w:bottom w:val="single" w:color="1B6E7D" w:sz="10" w:space="8"/>
        </w:pBdr>
        <w:spacing w:after="240" w:before="0"/>
      </w:pPr>
      <w:r>
        <w:rPr>
          <w:b/>
          <w:bCs/>
          <w:color w:val="12314F"/>
          <w:sz w:val="36"/>
          <w:szCs w:val="36"/>
        </w:rPr>
        <w:t xml:space="preserve">2  The finding contract</w:t>
      </w:r>
    </w:p>
    <w:p>
      <w:pPr>
        <w:spacing w:after="140" w:line="276"/>
      </w:pPr>
      <w:r>
        <w:rPr>
          <w:color w:val="1A1A1A"/>
          <w:sz w:val="21"/>
          <w:szCs w:val="21"/>
        </w:rPr>
        <w:t xml:space="preserve">This is the gate everything else depends on, so test it before anything else.</w:t>
      </w:r>
    </w:p>
    <w:p>
      <w:pPr>
        <w:pStyle w:val="Heading2"/>
        <w:spacing w:after="140" w:before="320"/>
      </w:pPr>
      <w:r>
        <w:rPr>
          <w:b/>
          <w:bCs/>
          <w:color w:val="12314F"/>
          <w:sz w:val="26"/>
          <w:szCs w:val="26"/>
        </w:rPr>
        <w:t xml:space="preserve">2.1  A valid batch is accepted</w:t>
      </w:r>
    </w:p>
    <w:p>
      <w:pPr>
        <w:pBdr>
          <w:left w:val="single" w:color="1B6E7D" w:sz="14" w:space="10"/>
        </w:pBdr>
        <w:shd w:fill="F7F6F3" w:val="clear"/>
        <w:spacing w:after="170" w:before="130"/>
        <w:ind w:left="160" w:right="120"/>
      </w:pPr>
      <w:r>
        <w:rPr>
          <w:rFonts w:ascii="Consolas" w:cs="Consolas" w:eastAsia="Consolas" w:hAnsi="Consolas"/>
          <w:color w:val="24303B"/>
          <w:sz w:val="18"/>
          <w:szCs w:val="18"/>
        </w:rPr>
        <w:t xml:space="preserve">curl -X POST https://testsite/api/method/neogrc.api.ingest_findings \</w:t>
      </w:r>
      <w:r>
        <w:br/>
      </w:r>
      <w:r>
        <w:rPr>
          <w:rFonts w:ascii="Consolas" w:cs="Consolas" w:eastAsia="Consolas" w:hAnsi="Consolas"/>
          <w:color w:val="24303B"/>
          <w:sz w:val="18"/>
          <w:szCs w:val="18"/>
        </w:rPr>
        <w:t xml:space="preserve">  -H "Authorization: token &lt;key&gt;:&lt;secret&gt;" \</w:t>
      </w:r>
      <w:r>
        <w:br/>
      </w:r>
      <w:r>
        <w:rPr>
          <w:rFonts w:ascii="Consolas" w:cs="Consolas" w:eastAsia="Consolas" w:hAnsi="Consolas"/>
          <w:color w:val="24303B"/>
          <w:sz w:val="18"/>
          <w:szCs w:val="18"/>
        </w:rPr>
        <w:t xml:space="preserve">  -H "Content-Type: application/json" \</w:t>
      </w:r>
      <w:r>
        <w:br/>
      </w:r>
      <w:r>
        <w:rPr>
          <w:rFonts w:ascii="Consolas" w:cs="Consolas" w:eastAsia="Consolas" w:hAnsi="Consolas"/>
          <w:color w:val="24303B"/>
          <w:sz w:val="18"/>
          <w:szCs w:val="18"/>
        </w:rPr>
        <w:t xml:space="preserve">  --data @apps/neogrc/neogrc/demo/fixtures/valid_findings.json</w:t>
      </w:r>
    </w:p>
    <w:p>
      <w:pPr>
        <w:spacing w:after="140" w:line="276"/>
      </w:pPr>
      <w:r>
        <w:rPr>
          <w:color w:val="1A1A1A"/>
          <w:sz w:val="21"/>
          <w:szCs w:val="21"/>
        </w:rPr>
        <w:t xml:space="preserve">Expect 8 findings created. Run the identical command again and expect 8 findings updated, not 16 created. Ingestion is idempotent on run_id, source, resource_id and resource_type.</w:t>
      </w:r>
    </w:p>
    <w:p>
      <w:pPr>
        <w:pStyle w:val="Heading2"/>
        <w:spacing w:after="140" w:before="320"/>
      </w:pPr>
      <w:r>
        <w:rPr>
          <w:b/>
          <w:bCs/>
          <w:color w:val="12314F"/>
          <w:sz w:val="26"/>
          <w:szCs w:val="26"/>
        </w:rPr>
        <w:t xml:space="preserve">2.2  Dry run writes nothing</w:t>
      </w:r>
    </w:p>
    <w:p>
      <w:pPr>
        <w:spacing w:after="140" w:line="276"/>
      </w:pPr>
      <w:r>
        <w:rPr>
          <w:color w:val="1A1A1A"/>
          <w:sz w:val="21"/>
          <w:szCs w:val="21"/>
        </w:rPr>
        <w:t xml:space="preserve">Add "dry_run": 1 to the payload and post it with a changed run_id. Expect a validation report and no new records.</w:t>
      </w:r>
    </w:p>
    <w:p>
      <w:pPr>
        <w:pStyle w:val="Heading2"/>
        <w:spacing w:after="140" w:before="320"/>
      </w:pPr>
      <w:r>
        <w:rPr>
          <w:b/>
          <w:bCs/>
          <w:color w:val="12314F"/>
          <w:sz w:val="26"/>
          <w:szCs w:val="26"/>
        </w:rPr>
        <w:t xml:space="preserve">2.3  An invalid batch is rejected whole</w:t>
      </w:r>
    </w:p>
    <w:p>
      <w:pPr>
        <w:pBdr>
          <w:left w:val="single" w:color="1B6E7D" w:sz="14" w:space="10"/>
        </w:pBdr>
        <w:shd w:fill="F7F6F3" w:val="clear"/>
        <w:spacing w:after="170" w:before="130"/>
        <w:ind w:left="160" w:right="120"/>
      </w:pPr>
      <w:r>
        <w:rPr>
          <w:rFonts w:ascii="Consolas" w:cs="Consolas" w:eastAsia="Consolas" w:hAnsi="Consolas"/>
          <w:color w:val="24303B"/>
          <w:sz w:val="18"/>
          <w:szCs w:val="18"/>
        </w:rPr>
        <w:t xml:space="preserve">curl -X POST https://testsite/api/method/neogrc.api.ingest_findings \</w:t>
      </w:r>
      <w:r>
        <w:br/>
      </w:r>
      <w:r>
        <w:rPr>
          <w:rFonts w:ascii="Consolas" w:cs="Consolas" w:eastAsia="Consolas" w:hAnsi="Consolas"/>
          <w:color w:val="24303B"/>
          <w:sz w:val="18"/>
          <w:szCs w:val="18"/>
        </w:rPr>
        <w:t xml:space="preserve">  -H "Authorization: token &lt;key&gt;:&lt;secret&gt;" \</w:t>
      </w:r>
      <w:r>
        <w:br/>
      </w:r>
      <w:r>
        <w:rPr>
          <w:rFonts w:ascii="Consolas" w:cs="Consolas" w:eastAsia="Consolas" w:hAnsi="Consolas"/>
          <w:color w:val="24303B"/>
          <w:sz w:val="18"/>
          <w:szCs w:val="18"/>
        </w:rPr>
        <w:t xml:space="preserve">  -H "Content-Type: application/json" \</w:t>
      </w:r>
      <w:r>
        <w:br/>
      </w:r>
      <w:r>
        <w:rPr>
          <w:rFonts w:ascii="Consolas" w:cs="Consolas" w:eastAsia="Consolas" w:hAnsi="Consolas"/>
          <w:color w:val="24303B"/>
          <w:sz w:val="18"/>
          <w:szCs w:val="18"/>
        </w:rPr>
        <w:t xml:space="preserve">  --data @apps/neogrc/neogrc/demo/fixtures/invalid_findings.json</w:t>
      </w:r>
    </w:p>
    <w:p>
      <w:pPr>
        <w:spacing w:after="140" w:line="276"/>
      </w:pPr>
      <w:r>
        <w:rPr>
          <w:color w:val="1A1A1A"/>
          <w:sz w:val="21"/>
          <w:szCs w:val="21"/>
        </w:rPr>
        <w:t xml:space="preserve">Expect rejection with eight indexed errors and zero records written. Each document breaks exactly one rule:</w:t>
      </w:r>
    </w:p>
    <w:tbl>
      <w:tblPr>
        <w:tblW w:type="dxa" w:w="9360"/>
        <w:tblBorders>
          <w:top w:val="single" w:color="C9D0D6" w:sz="4"/>
          <w:left w:val="none"/>
          <w:bottom w:val="single" w:color="C9D0D6" w:sz="4"/>
          <w:right w:val="none"/>
          <w:insideH w:val="single" w:color="DDE2E6" w:sz="2"/>
          <w:insideV w:val="none"/>
        </w:tblBorders>
      </w:tblPr>
      <w:tblGrid>
        <w:gridCol w:w="1123"/>
        <w:gridCol w:w="8237"/>
      </w:tblGrid>
      <w:tr>
        <w:trPr>
          <w:tblHeader/>
        </w:trPr>
        <w:tc>
          <w:tcPr>
            <w:tcW w:type="dxa" w:w="1123"/>
            <w:shd w:fill="12314F" w:val="clear"/>
            <w:tcMar>
              <w:top w:type="dxa" w:w="90"/>
              <w:left w:type="dxa" w:w="120"/>
              <w:bottom w:type="dxa" w:w="90"/>
              <w:right w:type="dxa" w:w="120"/>
            </w:tcMar>
            <w:vAlign w:val="center"/>
          </w:tcPr>
          <w:p>
            <w:pPr>
              <w:spacing w:after="0" w:line="258"/>
            </w:pPr>
            <w:r>
              <w:rPr>
                <w:b/>
                <w:bCs/>
                <w:color w:val="FFFFFF"/>
                <w:sz w:val="18"/>
                <w:szCs w:val="18"/>
              </w:rPr>
              <w:t xml:space="preserve">Index</w:t>
            </w:r>
          </w:p>
        </w:tc>
        <w:tc>
          <w:tcPr>
            <w:tcW w:type="dxa" w:w="8237"/>
            <w:shd w:fill="12314F" w:val="clear"/>
            <w:tcMar>
              <w:top w:type="dxa" w:w="90"/>
              <w:left w:type="dxa" w:w="120"/>
              <w:bottom w:type="dxa" w:w="90"/>
              <w:right w:type="dxa" w:w="120"/>
            </w:tcMar>
            <w:vAlign w:val="center"/>
          </w:tcPr>
          <w:p>
            <w:pPr>
              <w:spacing w:after="0" w:line="258"/>
            </w:pPr>
            <w:r>
              <w:rPr>
                <w:b/>
                <w:bCs/>
                <w:color w:val="FFFFFF"/>
                <w:sz w:val="18"/>
                <w:szCs w:val="18"/>
              </w:rPr>
              <w:t xml:space="preserve">Expected error</w:t>
            </w:r>
          </w:p>
        </w:tc>
      </w:tr>
      <w:tr>
        <w:tc>
          <w:tcPr>
            <w:tcW w:type="dxa" w:w="1123"/>
            <w:shd w:fill="FFFFFF"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0</w:t>
            </w:r>
          </w:p>
        </w:tc>
        <w:tc>
          <w:tcPr>
            <w:tcW w:type="dxa" w:w="8237"/>
            <w:shd w:fill="FFFFFF" w:val="clear"/>
            <w:tcMar>
              <w:top w:type="dxa" w:w="90"/>
              <w:left w:type="dxa" w:w="120"/>
              <w:bottom w:type="dxa" w:w="90"/>
              <w:right w:type="dxa" w:w="120"/>
            </w:tcMar>
            <w:vAlign w:val="center"/>
          </w:tcPr>
          <w:p>
            <w:pPr>
              <w:spacing w:after="0" w:line="258"/>
            </w:pPr>
            <w:r>
              <w:rPr>
                <w:color w:val="1A1A1A"/>
                <w:sz w:val="19"/>
                <w:szCs w:val="19"/>
              </w:rPr>
              <w:t xml:space="preserve">fail without a message</w:t>
            </w:r>
          </w:p>
        </w:tc>
      </w:tr>
      <w:tr>
        <w:tc>
          <w:tcPr>
            <w:tcW w:type="dxa" w:w="1123"/>
            <w:shd w:fill="F7F6F3"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1</w:t>
            </w:r>
          </w:p>
        </w:tc>
        <w:tc>
          <w:tcPr>
            <w:tcW w:type="dxa" w:w="8237"/>
            <w:shd w:fill="F7F6F3" w:val="clear"/>
            <w:tcMar>
              <w:top w:type="dxa" w:w="90"/>
              <w:left w:type="dxa" w:w="120"/>
              <w:bottom w:type="dxa" w:w="90"/>
              <w:right w:type="dxa" w:w="120"/>
            </w:tcMar>
            <w:vAlign w:val="center"/>
          </w:tcPr>
          <w:p>
            <w:pPr>
              <w:spacing w:after="0" w:line="258"/>
            </w:pPr>
            <w:r>
              <w:rPr>
                <w:color w:val="1A1A1A"/>
                <w:sz w:val="19"/>
                <w:szCs w:val="19"/>
              </w:rPr>
              <w:t xml:space="preserve">fail without a severity</w:t>
            </w:r>
          </w:p>
        </w:tc>
      </w:tr>
      <w:tr>
        <w:tc>
          <w:tcPr>
            <w:tcW w:type="dxa" w:w="1123"/>
            <w:shd w:fill="FFFFFF"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2</w:t>
            </w:r>
          </w:p>
        </w:tc>
        <w:tc>
          <w:tcPr>
            <w:tcW w:type="dxa" w:w="8237"/>
            <w:shd w:fill="FFFFFF" w:val="clear"/>
            <w:tcMar>
              <w:top w:type="dxa" w:w="90"/>
              <w:left w:type="dxa" w:w="120"/>
              <w:bottom w:type="dxa" w:w="90"/>
              <w:right w:type="dxa" w:w="120"/>
            </w:tcMar>
            <w:vAlign w:val="center"/>
          </w:tcPr>
          <w:p>
            <w:pPr>
              <w:spacing w:after="0" w:line="258"/>
            </w:pPr>
            <w:r>
              <w:rPr>
                <w:color w:val="1A1A1A"/>
                <w:sz w:val="19"/>
                <w:szCs w:val="19"/>
              </w:rPr>
              <w:t xml:space="preserve">inconclusive without a message</w:t>
            </w:r>
          </w:p>
        </w:tc>
      </w:tr>
      <w:tr>
        <w:tc>
          <w:tcPr>
            <w:tcW w:type="dxa" w:w="1123"/>
            <w:shd w:fill="F7F6F3"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3</w:t>
            </w:r>
          </w:p>
        </w:tc>
        <w:tc>
          <w:tcPr>
            <w:tcW w:type="dxa" w:w="8237"/>
            <w:shd w:fill="F7F6F3" w:val="clear"/>
            <w:tcMar>
              <w:top w:type="dxa" w:w="90"/>
              <w:left w:type="dxa" w:w="120"/>
              <w:bottom w:type="dxa" w:w="90"/>
              <w:right w:type="dxa" w:w="120"/>
            </w:tcMar>
            <w:vAlign w:val="center"/>
          </w:tcPr>
          <w:p>
            <w:pPr>
              <w:spacing w:after="0" w:line="258"/>
            </w:pPr>
            <w:r>
              <w:rPr>
                <w:color w:val="1A1A1A"/>
                <w:sz w:val="19"/>
                <w:szCs w:val="19"/>
              </w:rPr>
              <w:t xml:space="preserve">status 'green' is not in the enum</w:t>
            </w:r>
          </w:p>
        </w:tc>
      </w:tr>
      <w:tr>
        <w:tc>
          <w:tcPr>
            <w:tcW w:type="dxa" w:w="1123"/>
            <w:shd w:fill="FFFFFF"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4</w:t>
            </w:r>
          </w:p>
        </w:tc>
        <w:tc>
          <w:tcPr>
            <w:tcW w:type="dxa" w:w="8237"/>
            <w:shd w:fill="FFFFFF" w:val="clear"/>
            <w:tcMar>
              <w:top w:type="dxa" w:w="90"/>
              <w:left w:type="dxa" w:w="120"/>
              <w:bottom w:type="dxa" w:w="90"/>
              <w:right w:type="dxa" w:w="120"/>
            </w:tcMar>
            <w:vAlign w:val="center"/>
          </w:tcPr>
          <w:p>
            <w:pPr>
              <w:spacing w:after="0" w:line="258"/>
            </w:pPr>
            <w:r>
              <w:rPr>
                <w:color w:val="1A1A1A"/>
                <w:sz w:val="19"/>
                <w:szCs w:val="19"/>
              </w:rPr>
              <w:t xml:space="preserve">no evaluations</w:t>
            </w:r>
          </w:p>
        </w:tc>
      </w:tr>
      <w:tr>
        <w:tc>
          <w:tcPr>
            <w:tcW w:type="dxa" w:w="1123"/>
            <w:shd w:fill="F7F6F3"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5</w:t>
            </w:r>
          </w:p>
        </w:tc>
        <w:tc>
          <w:tcPr>
            <w:tcW w:type="dxa" w:w="8237"/>
            <w:shd w:fill="F7F6F3" w:val="clear"/>
            <w:tcMar>
              <w:top w:type="dxa" w:w="90"/>
              <w:left w:type="dxa" w:w="120"/>
              <w:bottom w:type="dxa" w:w="90"/>
              <w:right w:type="dxa" w:w="120"/>
            </w:tcMar>
            <w:vAlign w:val="center"/>
          </w:tcPr>
          <w:p>
            <w:pPr>
              <w:spacing w:after="0" w:line="258"/>
            </w:pPr>
            <w:r>
              <w:rPr>
                <w:color w:val="1A1A1A"/>
                <w:sz w:val="19"/>
                <w:szCs w:val="19"/>
              </w:rPr>
              <w:t xml:space="preserve">schema major version 2 unsupported</w:t>
            </w:r>
          </w:p>
        </w:tc>
      </w:tr>
      <w:tr>
        <w:tc>
          <w:tcPr>
            <w:tcW w:type="dxa" w:w="1123"/>
            <w:shd w:fill="FFFFFF"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6</w:t>
            </w:r>
          </w:p>
        </w:tc>
        <w:tc>
          <w:tcPr>
            <w:tcW w:type="dxa" w:w="8237"/>
            <w:shd w:fill="FFFFFF" w:val="clear"/>
            <w:tcMar>
              <w:top w:type="dxa" w:w="90"/>
              <w:left w:type="dxa" w:w="120"/>
              <w:bottom w:type="dxa" w:w="90"/>
              <w:right w:type="dxa" w:w="120"/>
            </w:tcMar>
            <w:vAlign w:val="center"/>
          </w:tcPr>
          <w:p>
            <w:pPr>
              <w:spacing w:after="0" w:line="258"/>
            </w:pPr>
            <w:r>
              <w:rPr>
                <w:color w:val="1A1A1A"/>
                <w:sz w:val="19"/>
                <w:szCs w:val="19"/>
              </w:rPr>
              <w:t xml:space="preserve">negative effort_hours</w:t>
            </w:r>
          </w:p>
        </w:tc>
      </w:tr>
      <w:tr>
        <w:tc>
          <w:tcPr>
            <w:tcW w:type="dxa" w:w="1123"/>
            <w:shd w:fill="F7F6F3"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7</w:t>
            </w:r>
          </w:p>
        </w:tc>
        <w:tc>
          <w:tcPr>
            <w:tcW w:type="dxa" w:w="8237"/>
            <w:shd w:fill="F7F6F3" w:val="clear"/>
            <w:tcMar>
              <w:top w:type="dxa" w:w="90"/>
              <w:left w:type="dxa" w:w="120"/>
              <w:bottom w:type="dxa" w:w="90"/>
              <w:right w:type="dxa" w:w="120"/>
            </w:tcMar>
            <w:vAlign w:val="center"/>
          </w:tcPr>
          <w:p>
            <w:pPr>
              <w:spacing w:after="0" w:line="258"/>
            </w:pPr>
            <w:r>
              <w:rPr>
                <w:color w:val="1A1A1A"/>
                <w:sz w:val="19"/>
                <w:szCs w:val="19"/>
              </w:rPr>
              <w:t xml:space="preserve">unparseable collected_at</w:t>
            </w:r>
          </w:p>
        </w:tc>
      </w:tr>
    </w:tbl>
    <w:p>
      <w:pPr>
        <w:spacing w:after="80"/>
      </w:pPr>
    </w:p>
    <w:tbl>
      <w:tblPr>
        <w:tblW w:type="dxa" w:w="9360"/>
        <w:tblBorders>
          <w:top w:val="none"/>
          <w:left w:val="single" w:color="8C3A34" w:sz="18"/>
          <w:bottom w:val="none"/>
          <w:right w:val="none"/>
          <w:insideH w:val="none"/>
          <w:insideV w:val="none"/>
        </w:tblBorders>
      </w:tblPr>
      <w:tblGrid>
        <w:gridCol w:w="9360"/>
      </w:tblGrid>
      <w:tr>
        <w:tc>
          <w:tcPr>
            <w:tcW w:type="dxa" w:w="9360"/>
            <w:shd w:fill="F2EEE6" w:val="clear"/>
            <w:tcMar>
              <w:top w:type="dxa" w:w="150"/>
              <w:left w:type="dxa" w:w="190"/>
              <w:bottom w:type="dxa" w:w="150"/>
              <w:right w:type="dxa" w:w="190"/>
            </w:tcMar>
          </w:tcPr>
          <w:p>
            <w:pPr>
              <w:spacing w:after="70"/>
            </w:pPr>
            <w:r>
              <w:rPr>
                <w:b/>
                <w:bCs/>
                <w:color w:val="8C3A34"/>
                <w:sz w:val="20"/>
                <w:szCs w:val="20"/>
              </w:rPr>
              <w:t xml:space="preserve">The critical assertion is that nothing was written</w:t>
            </w:r>
          </w:p>
          <w:p>
            <w:pPr>
              <w:spacing w:after="0" w:line="268"/>
            </w:pPr>
            <w:r>
              <w:rPr>
                <w:sz w:val="20"/>
                <w:szCs w:val="20"/>
              </w:rPr>
              <w:t xml:space="preserve">Document 0 is invalid, but documents 1 to 7 would each have been rejected individually too. If any records appear, whole-batch validation is broken — and a half-ingested run will later report its missing half as uncovered, with nobody noticing.</w:t>
            </w:r>
          </w:p>
        </w:tc>
      </w:tr>
    </w:tbl>
    <w:p>
      <w:pPr>
        <w:pStyle w:val="Heading2"/>
        <w:spacing w:after="140" w:before="320"/>
      </w:pPr>
      <w:r>
        <w:rPr>
          <w:b/>
          <w:bCs/>
          <w:color w:val="12314F"/>
          <w:sz w:val="26"/>
          <w:szCs w:val="26"/>
        </w:rPr>
        <w:t xml:space="preserve">2.4  Permission guard</w:t>
      </w:r>
    </w:p>
    <w:p>
      <w:pPr>
        <w:spacing w:after="140" w:line="276"/>
      </w:pPr>
      <w:r>
        <w:rPr>
          <w:color w:val="1A1A1A"/>
          <w:sz w:val="21"/>
          <w:szCs w:val="21"/>
        </w:rPr>
        <w:t xml:space="preserve">Repeat 2.1 as a user holding only NeoGRC Auditor. Expect PermissionError. Auditors read; they do not write findings.</w:t>
      </w:r>
    </w:p>
    <w:p>
      <w:pPr>
        <w:pStyle w:val="Heading1"/>
        <w:pageBreakBefore/>
        <w:pBdr>
          <w:bottom w:val="single" w:color="1B6E7D" w:sz="10" w:space="8"/>
        </w:pBdr>
        <w:spacing w:after="240" w:before="0"/>
      </w:pPr>
      <w:r>
        <w:rPr>
          <w:b/>
          <w:bCs/>
          <w:color w:val="12314F"/>
          <w:sz w:val="36"/>
          <w:szCs w:val="36"/>
        </w:rPr>
        <w:t xml:space="preserve">3  Rollups and severity</w:t>
      </w:r>
    </w:p>
    <w:tbl>
      <w:tblPr>
        <w:tblW w:type="dxa" w:w="9360"/>
        <w:tblBorders>
          <w:top w:val="single" w:color="C9D0D6" w:sz="4"/>
          <w:left w:val="none"/>
          <w:bottom w:val="single" w:color="C9D0D6" w:sz="4"/>
          <w:right w:val="none"/>
          <w:insideH w:val="single" w:color="DDE2E6" w:sz="2"/>
          <w:insideV w:val="none"/>
        </w:tblBorders>
      </w:tblPr>
      <w:tblGrid>
        <w:gridCol w:w="2434"/>
        <w:gridCol w:w="6926"/>
      </w:tblGrid>
      <w:tr>
        <w:trPr>
          <w:tblHeader/>
        </w:trPr>
        <w:tc>
          <w:tcPr>
            <w:tcW w:type="dxa" w:w="2434"/>
            <w:shd w:fill="12314F" w:val="clear"/>
            <w:tcMar>
              <w:top w:type="dxa" w:w="90"/>
              <w:left w:type="dxa" w:w="120"/>
              <w:bottom w:type="dxa" w:w="90"/>
              <w:right w:type="dxa" w:w="120"/>
            </w:tcMar>
            <w:vAlign w:val="center"/>
          </w:tcPr>
          <w:p>
            <w:pPr>
              <w:spacing w:after="0" w:line="258"/>
            </w:pPr>
            <w:r>
              <w:rPr>
                <w:b/>
                <w:bCs/>
                <w:color w:val="FFFFFF"/>
                <w:sz w:val="18"/>
                <w:szCs w:val="18"/>
              </w:rPr>
              <w:t xml:space="preserve">Open finding for</w:t>
            </w:r>
          </w:p>
        </w:tc>
        <w:tc>
          <w:tcPr>
            <w:tcW w:type="dxa" w:w="6926"/>
            <w:shd w:fill="12314F" w:val="clear"/>
            <w:tcMar>
              <w:top w:type="dxa" w:w="90"/>
              <w:left w:type="dxa" w:w="120"/>
              <w:bottom w:type="dxa" w:w="90"/>
              <w:right w:type="dxa" w:w="120"/>
            </w:tcMar>
            <w:vAlign w:val="center"/>
          </w:tcPr>
          <w:p>
            <w:pPr>
              <w:spacing w:after="0" w:line="258"/>
            </w:pPr>
            <w:r>
              <w:rPr>
                <w:b/>
                <w:bCs/>
                <w:color w:val="FFFFFF"/>
                <w:sz w:val="18"/>
                <w:szCs w:val="18"/>
              </w:rPr>
              <w:t xml:space="preserve">Expect</w:t>
            </w:r>
          </w:p>
        </w:tc>
      </w:tr>
      <w:tr>
        <w:tc>
          <w:tcPr>
            <w:tcW w:type="dxa" w:w="2434"/>
            <w:shd w:fill="FFFFFF" w:val="clear"/>
            <w:tcMar>
              <w:top w:type="dxa" w:w="90"/>
              <w:left w:type="dxa" w:w="120"/>
              <w:bottom w:type="dxa" w:w="90"/>
              <w:right w:type="dxa" w:w="120"/>
            </w:tcMar>
            <w:vAlign w:val="center"/>
          </w:tcPr>
          <w:p>
            <w:pPr>
              <w:spacing w:after="0" w:line="258"/>
            </w:pPr>
            <w:r>
              <w:rPr>
                <w:color w:val="1A1A1A"/>
                <w:sz w:val="19"/>
                <w:szCs w:val="19"/>
              </w:rPr>
              <w:t xml:space="preserve">wadi-prod-manifests</w:t>
            </w:r>
          </w:p>
        </w:tc>
        <w:tc>
          <w:tcPr>
            <w:tcW w:type="dxa" w:w="6926"/>
            <w:shd w:fill="FFFFFF" w:val="clear"/>
            <w:tcMar>
              <w:top w:type="dxa" w:w="90"/>
              <w:left w:type="dxa" w:w="120"/>
              <w:bottom w:type="dxa" w:w="90"/>
              <w:right w:type="dxa" w:w="120"/>
            </w:tcMar>
            <w:vAlign w:val="center"/>
          </w:tcPr>
          <w:p>
            <w:pPr>
              <w:spacing w:after="0" w:line="258"/>
            </w:pPr>
            <w:r>
              <w:rPr>
                <w:color w:val="1A1A1A"/>
                <w:sz w:val="19"/>
                <w:szCs w:val="19"/>
              </w:rPr>
              <w:t xml:space="preserve">Rollup fail, worst severity high. Two failing evaluations — CRY-01 high, DAT-01 medium — and the worse wins</w:t>
            </w:r>
          </w:p>
        </w:tc>
      </w:tr>
      <w:tr>
        <w:tc>
          <w:tcPr>
            <w:tcW w:type="dxa" w:w="2434"/>
            <w:shd w:fill="F7F6F3" w:val="clear"/>
            <w:tcMar>
              <w:top w:type="dxa" w:w="90"/>
              <w:left w:type="dxa" w:w="120"/>
              <w:bottom w:type="dxa" w:w="90"/>
              <w:right w:type="dxa" w:w="120"/>
            </w:tcMar>
            <w:vAlign w:val="center"/>
          </w:tcPr>
          <w:p>
            <w:pPr>
              <w:spacing w:after="0" w:line="258"/>
            </w:pPr>
            <w:r>
              <w:rPr>
                <w:color w:val="1A1A1A"/>
                <w:sz w:val="19"/>
                <w:szCs w:val="19"/>
              </w:rPr>
              <w:t xml:space="preserve">wadi-org-trail</w:t>
            </w:r>
          </w:p>
        </w:tc>
        <w:tc>
          <w:tcPr>
            <w:tcW w:type="dxa" w:w="6926"/>
            <w:shd w:fill="F7F6F3" w:val="clear"/>
            <w:tcMar>
              <w:top w:type="dxa" w:w="90"/>
              <w:left w:type="dxa" w:w="120"/>
              <w:bottom w:type="dxa" w:w="90"/>
              <w:right w:type="dxa" w:w="120"/>
            </w:tcMar>
            <w:vAlign w:val="center"/>
          </w:tcPr>
          <w:p>
            <w:pPr>
              <w:spacing w:after="0" w:line="258"/>
            </w:pPr>
            <w:r>
              <w:rPr>
                <w:color w:val="1A1A1A"/>
                <w:sz w:val="19"/>
                <w:szCs w:val="19"/>
              </w:rPr>
              <w:t xml:space="preserve">Rollup inconclusive, not pass. LOG-01 passed but LOG-02 returned AccessDenied. Inconclusive outranks pass: the tool tried and could not determine, which is not the same as fine</w:t>
            </w:r>
          </w:p>
        </w:tc>
      </w:tr>
      <w:tr>
        <w:tc>
          <w:tcPr>
            <w:tcW w:type="dxa" w:w="2434"/>
            <w:shd w:fill="FFFFFF" w:val="clear"/>
            <w:tcMar>
              <w:top w:type="dxa" w:w="90"/>
              <w:left w:type="dxa" w:w="120"/>
              <w:bottom w:type="dxa" w:w="90"/>
              <w:right w:type="dxa" w:w="120"/>
            </w:tcMar>
            <w:vAlign w:val="center"/>
          </w:tcPr>
          <w:p>
            <w:pPr>
              <w:spacing w:after="0" w:line="258"/>
            </w:pPr>
            <w:r>
              <w:rPr>
                <w:color w:val="1A1A1A"/>
                <w:sz w:val="19"/>
                <w:szCs w:val="19"/>
              </w:rPr>
              <w:t xml:space="preserve">arn:aws:kms:...key/abcd</w:t>
            </w:r>
          </w:p>
        </w:tc>
        <w:tc>
          <w:tcPr>
            <w:tcW w:type="dxa" w:w="6926"/>
            <w:shd w:fill="FFFFFF" w:val="clear"/>
            <w:tcMar>
              <w:top w:type="dxa" w:w="90"/>
              <w:left w:type="dxa" w:w="120"/>
              <w:bottom w:type="dxa" w:w="90"/>
              <w:right w:type="dxa" w:w="120"/>
            </w:tcMar>
            <w:vAlign w:val="center"/>
          </w:tcPr>
          <w:p>
            <w:pPr>
              <w:spacing w:after="0" w:line="258"/>
            </w:pPr>
            <w:r>
              <w:rPr>
                <w:color w:val="1A1A1A"/>
                <w:sz w:val="19"/>
                <w:szCs w:val="19"/>
              </w:rPr>
              <w:t xml:space="preserve">CRY-04 is not_applicable with a message, and does not drag the rollup down</w:t>
            </w:r>
          </w:p>
        </w:tc>
      </w:tr>
      <w:tr>
        <w:tc>
          <w:tcPr>
            <w:tcW w:type="dxa" w:w="2434"/>
            <w:shd w:fill="F7F6F3" w:val="clear"/>
            <w:tcMar>
              <w:top w:type="dxa" w:w="90"/>
              <w:left w:type="dxa" w:w="120"/>
              <w:bottom w:type="dxa" w:w="90"/>
              <w:right w:type="dxa" w:w="120"/>
            </w:tcMar>
            <w:vAlign w:val="center"/>
          </w:tcPr>
          <w:p>
            <w:pPr>
              <w:spacing w:after="0" w:line="258"/>
            </w:pPr>
            <w:r>
              <w:rPr>
                <w:color w:val="1A1A1A"/>
                <w:sz w:val="19"/>
                <w:szCs w:val="19"/>
              </w:rPr>
              <w:t xml:space="preserve">wadi-prod-invoices</w:t>
            </w:r>
          </w:p>
        </w:tc>
        <w:tc>
          <w:tcPr>
            <w:tcW w:type="dxa" w:w="6926"/>
            <w:shd w:fill="F7F6F3" w:val="clear"/>
            <w:tcMar>
              <w:top w:type="dxa" w:w="90"/>
              <w:left w:type="dxa" w:w="120"/>
              <w:bottom w:type="dxa" w:w="90"/>
              <w:right w:type="dxa" w:w="120"/>
            </w:tcMar>
            <w:vAlign w:val="center"/>
          </w:tcPr>
          <w:p>
            <w:pPr>
              <w:spacing w:after="0" w:line="258"/>
            </w:pPr>
            <w:r>
              <w:rPr>
                <w:color w:val="1A1A1A"/>
                <w:sz w:val="19"/>
                <w:szCs w:val="19"/>
              </w:rPr>
              <w:t xml:space="preserve">Rollup pass, worst severity blank or info. A passing evaluation carrying a high severity must NOT inflate the finding — severity describes impact if failing, not current state</w:t>
            </w:r>
          </w:p>
        </w:tc>
      </w:tr>
    </w:tbl>
    <w:p>
      <w:pPr>
        <w:pStyle w:val="Heading1"/>
        <w:pageBreakBefore/>
        <w:pBdr>
          <w:bottom w:val="single" w:color="1B6E7D" w:sz="10" w:space="8"/>
        </w:pBdr>
        <w:spacing w:after="240" w:before="0"/>
      </w:pPr>
      <w:r>
        <w:rPr>
          <w:b/>
          <w:bCs/>
          <w:color w:val="12314F"/>
          <w:sz w:val="36"/>
          <w:szCs w:val="36"/>
        </w:rPr>
        <w:t xml:space="preserve">4  Crosswalk</w:t>
      </w:r>
    </w:p>
    <w:tbl>
      <w:tblPr>
        <w:tblW w:type="dxa" w:w="9360"/>
        <w:tblBorders>
          <w:top w:val="single" w:color="C9D0D6" w:sz="4"/>
          <w:left w:val="none"/>
          <w:bottom w:val="single" w:color="C9D0D6" w:sz="4"/>
          <w:right w:val="none"/>
          <w:insideH w:val="single" w:color="DDE2E6" w:sz="2"/>
          <w:insideV w:val="none"/>
        </w:tblBorders>
      </w:tblPr>
      <w:tblGrid>
        <w:gridCol w:w="3931"/>
        <w:gridCol w:w="5429"/>
      </w:tblGrid>
      <w:tr>
        <w:trPr>
          <w:tblHeader/>
        </w:trPr>
        <w:tc>
          <w:tcPr>
            <w:tcW w:type="dxa" w:w="3931"/>
            <w:shd w:fill="12314F" w:val="clear"/>
            <w:tcMar>
              <w:top w:type="dxa" w:w="90"/>
              <w:left w:type="dxa" w:w="120"/>
              <w:bottom w:type="dxa" w:w="90"/>
              <w:right w:type="dxa" w:w="120"/>
            </w:tcMar>
            <w:vAlign w:val="center"/>
          </w:tcPr>
          <w:p>
            <w:pPr>
              <w:spacing w:after="0" w:line="258"/>
            </w:pPr>
            <w:r>
              <w:rPr>
                <w:b/>
                <w:bCs/>
                <w:color w:val="FFFFFF"/>
                <w:sz w:val="18"/>
                <w:szCs w:val="18"/>
              </w:rPr>
              <w:t xml:space="preserve">Do</w:t>
            </w:r>
          </w:p>
        </w:tc>
        <w:tc>
          <w:tcPr>
            <w:tcW w:type="dxa" w:w="5429"/>
            <w:shd w:fill="12314F" w:val="clear"/>
            <w:tcMar>
              <w:top w:type="dxa" w:w="90"/>
              <w:left w:type="dxa" w:w="120"/>
              <w:bottom w:type="dxa" w:w="90"/>
              <w:right w:type="dxa" w:w="120"/>
            </w:tcMar>
            <w:vAlign w:val="center"/>
          </w:tcPr>
          <w:p>
            <w:pPr>
              <w:spacing w:after="0" w:line="258"/>
            </w:pPr>
            <w:r>
              <w:rPr>
                <w:b/>
                <w:bCs/>
                <w:color w:val="FFFFFF"/>
                <w:sz w:val="18"/>
                <w:szCs w:val="18"/>
              </w:rPr>
              <w:t xml:space="preserve">Expect</w:t>
            </w:r>
          </w:p>
        </w:tc>
      </w:tr>
      <w:tr>
        <w:tc>
          <w:tcPr>
            <w:tcW w:type="dxa" w:w="3931"/>
            <w:shd w:fill="FFFFFF" w:val="clear"/>
            <w:tcMar>
              <w:top w:type="dxa" w:w="90"/>
              <w:left w:type="dxa" w:w="120"/>
              <w:bottom w:type="dxa" w:w="90"/>
              <w:right w:type="dxa" w:w="120"/>
            </w:tcMar>
            <w:vAlign w:val="center"/>
          </w:tcPr>
          <w:p>
            <w:pPr>
              <w:spacing w:after="0" w:line="258"/>
            </w:pPr>
            <w:r>
              <w:rPr>
                <w:color w:val="1A1A1A"/>
                <w:sz w:val="19"/>
                <w:szCs w:val="19"/>
              </w:rPr>
              <w:t xml:space="preserve">Open NCC::CRY-01, click Show Crosswalk</w:t>
            </w:r>
          </w:p>
        </w:tc>
        <w:tc>
          <w:tcPr>
            <w:tcW w:type="dxa" w:w="5429"/>
            <w:shd w:fill="FFFFFF" w:val="clear"/>
            <w:tcMar>
              <w:top w:type="dxa" w:w="90"/>
              <w:left w:type="dxa" w:w="120"/>
              <w:bottom w:type="dxa" w:w="90"/>
              <w:right w:type="dxa" w:w="120"/>
            </w:tcMar>
            <w:vAlign w:val="center"/>
          </w:tcPr>
          <w:p>
            <w:pPr>
              <w:spacing w:after="0" w:line="258"/>
            </w:pPr>
            <w:r>
              <w:rPr>
                <w:color w:val="1A1A1A"/>
                <w:sz w:val="19"/>
                <w:szCs w:val="19"/>
              </w:rPr>
              <w:t xml:space="preserve">Mappings into several frameworks, each row marked whether it carries coverage</w:t>
            </w:r>
          </w:p>
        </w:tc>
      </w:tr>
      <w:tr>
        <w:tc>
          <w:tcPr>
            <w:tcW w:type="dxa" w:w="3931"/>
            <w:shd w:fill="F7F6F3" w:val="clear"/>
            <w:tcMar>
              <w:top w:type="dxa" w:w="90"/>
              <w:left w:type="dxa" w:w="120"/>
              <w:bottom w:type="dxa" w:w="90"/>
              <w:right w:type="dxa" w:w="120"/>
            </w:tcMar>
            <w:vAlign w:val="center"/>
          </w:tcPr>
          <w:p>
            <w:pPr>
              <w:spacing w:after="0" w:line="258"/>
            </w:pPr>
            <w:r>
              <w:rPr>
                <w:color w:val="1A1A1A"/>
                <w:sz w:val="19"/>
                <w:szCs w:val="19"/>
              </w:rPr>
              <w:t xml:space="preserve">Open NCC::GOV-01, click Show Crosswalk</w:t>
            </w:r>
          </w:p>
        </w:tc>
        <w:tc>
          <w:tcPr>
            <w:tcW w:type="dxa" w:w="5429"/>
            <w:shd w:fill="F7F6F3" w:val="clear"/>
            <w:tcMar>
              <w:top w:type="dxa" w:w="90"/>
              <w:left w:type="dxa" w:w="120"/>
              <w:bottom w:type="dxa" w:w="90"/>
              <w:right w:type="dxa" w:w="120"/>
            </w:tcMar>
            <w:vAlign w:val="center"/>
          </w:tcPr>
          <w:p>
            <w:pPr>
              <w:spacing w:after="0" w:line="258"/>
            </w:pPr>
            <w:r>
              <w:rPr>
                <w:color w:val="1A1A1A"/>
                <w:sz w:val="19"/>
                <w:szCs w:val="19"/>
              </w:rPr>
              <w:t xml:space="preserve">A long list, mostly 'related'. These are the family-level derivations into NCA ECC-2 and NIST CSF 2.0 — 910 of the 1,121 shipped edges</w:t>
            </w:r>
          </w:p>
        </w:tc>
      </w:tr>
      <w:tr>
        <w:tc>
          <w:tcPr>
            <w:tcW w:type="dxa" w:w="3931"/>
            <w:shd w:fill="FFFFFF" w:val="clear"/>
            <w:tcMar>
              <w:top w:type="dxa" w:w="90"/>
              <w:left w:type="dxa" w:w="120"/>
              <w:bottom w:type="dxa" w:w="90"/>
              <w:right w:type="dxa" w:w="120"/>
            </w:tcMar>
            <w:vAlign w:val="center"/>
          </w:tcPr>
          <w:p>
            <w:pPr>
              <w:spacing w:after="0" w:line="258"/>
            </w:pPr>
            <w:r>
              <w:rPr>
                <w:color w:val="1A1A1A"/>
                <w:sz w:val="19"/>
                <w:szCs w:val="19"/>
              </w:rPr>
              <w:t xml:space="preserve">Click Conflicting Requirements on a control mapped into three or more frameworks</w:t>
            </w:r>
          </w:p>
        </w:tc>
        <w:tc>
          <w:tcPr>
            <w:tcW w:type="dxa" w:w="5429"/>
            <w:shd w:fill="FFFFFF" w:val="clear"/>
            <w:tcMar>
              <w:top w:type="dxa" w:w="90"/>
              <w:left w:type="dxa" w:w="120"/>
              <w:bottom w:type="dxa" w:w="90"/>
              <w:right w:type="dxa" w:w="120"/>
            </w:tcMar>
            <w:vAlign w:val="center"/>
          </w:tcPr>
          <w:p>
            <w:pPr>
              <w:spacing w:after="0" w:line="258"/>
            </w:pPr>
            <w:r>
              <w:rPr>
                <w:color w:val="1A1A1A"/>
                <w:sz w:val="19"/>
                <w:szCs w:val="19"/>
              </w:rPr>
              <w:t xml:space="preserve">Rows where severity or automation posture disagrees, with the binding (stricter) obligation named</w:t>
            </w:r>
          </w:p>
        </w:tc>
      </w:tr>
      <w:tr>
        <w:tc>
          <w:tcPr>
            <w:tcW w:type="dxa" w:w="3931"/>
            <w:shd w:fill="F7F6F3" w:val="clear"/>
            <w:tcMar>
              <w:top w:type="dxa" w:w="90"/>
              <w:left w:type="dxa" w:w="120"/>
              <w:bottom w:type="dxa" w:w="90"/>
              <w:right w:type="dxa" w:w="120"/>
            </w:tcMar>
            <w:vAlign w:val="center"/>
          </w:tcPr>
          <w:p>
            <w:pPr>
              <w:spacing w:after="0" w:line="258"/>
            </w:pPr>
            <w:r>
              <w:rPr>
                <w:color w:val="1A1A1A"/>
                <w:sz w:val="19"/>
                <w:szCs w:val="19"/>
              </w:rPr>
              <w:t xml:space="preserve">Change Canonical Framework in Settings, re-run Show Crosswalk</w:t>
            </w:r>
          </w:p>
        </w:tc>
        <w:tc>
          <w:tcPr>
            <w:tcW w:type="dxa" w:w="5429"/>
            <w:shd w:fill="F7F6F3" w:val="clear"/>
            <w:tcMar>
              <w:top w:type="dxa" w:w="90"/>
              <w:left w:type="dxa" w:w="120"/>
              <w:bottom w:type="dxa" w:w="90"/>
              <w:right w:type="dxa" w:w="120"/>
            </w:tcMar>
            <w:vAlign w:val="center"/>
          </w:tcPr>
          <w:p>
            <w:pPr>
              <w:spacing w:after="0" w:line="258"/>
            </w:pPr>
            <w:r>
              <w:rPr>
                <w:color w:val="1A1A1A"/>
                <w:sz w:val="19"/>
                <w:szCs w:val="19"/>
              </w:rPr>
              <w:t xml:space="preserve">Different results, no error. The pivot is configurable by design. Change it back to NCC before continuing</w:t>
            </w:r>
          </w:p>
        </w:tc>
      </w:tr>
    </w:tbl>
    <w:p>
      <w:pPr>
        <w:spacing w:after="140" w:line="276"/>
      </w:pPr>
      <w:r>
        <w:rPr>
          <w:color w:val="1A1A1A"/>
          <w:sz w:val="21"/>
          <w:szCs w:val="21"/>
        </w:rPr>
        <w:t xml:space="preserve">Related edges are shown because they are a useful starting point for a consultant, and excluded from scoring because nobody has checked them at control level yet.</w:t>
      </w:r>
    </w:p>
    <w:p>
      <w:pPr>
        <w:pStyle w:val="Heading1"/>
        <w:pageBreakBefore/>
        <w:pBdr>
          <w:bottom w:val="single" w:color="1B6E7D" w:sz="10" w:space="8"/>
        </w:pBdr>
        <w:spacing w:after="240" w:before="0"/>
      </w:pPr>
      <w:r>
        <w:rPr>
          <w:b/>
          <w:bCs/>
          <w:color w:val="12314F"/>
          <w:sz w:val="36"/>
          <w:szCs w:val="36"/>
        </w:rPr>
        <w:t xml:space="preserve">5  Gap assessment</w:t>
      </w:r>
    </w:p>
    <w:p>
      <w:pPr>
        <w:spacing w:after="140" w:line="276"/>
      </w:pPr>
      <w:r>
        <w:rPr>
          <w:color w:val="1A1A1A"/>
          <w:sz w:val="21"/>
          <w:szCs w:val="21"/>
        </w:rPr>
        <w:t xml:space="preserve">This is where the scoring philosophy becomes visible, so it is the most important section of the tour.</w:t>
      </w:r>
    </w:p>
    <w:p>
      <w:pPr>
        <w:pStyle w:val="Heading2"/>
        <w:spacing w:after="140" w:before="320"/>
      </w:pPr>
      <w:r>
        <w:rPr>
          <w:b/>
          <w:bCs/>
          <w:color w:val="12314F"/>
          <w:sz w:val="26"/>
          <w:szCs w:val="26"/>
        </w:rPr>
        <w:t xml:space="preserve">5.1  Single framework</w:t>
      </w:r>
    </w:p>
    <w:p>
      <w:pPr>
        <w:spacing w:after="140" w:line="276"/>
      </w:pPr>
      <w:r>
        <w:rPr>
          <w:color w:val="1A1A1A"/>
          <w:sz w:val="21"/>
          <w:szCs w:val="21"/>
        </w:rPr>
        <w:t xml:space="preserve">Create a NeoGRC Gap Assessment titled "Demo — NCC baseline", As Of now, scope framework NCC, and click Run Assessment.</w:t>
      </w:r>
    </w:p>
    <w:p>
      <w:pPr>
        <w:pStyle w:val="ListParagraph"/>
        <w:numPr>
          <w:ilvl w:val="0"/>
          <w:numId w:val="2"/>
        </w:numPr>
        <w:spacing w:after="90" w:line="264"/>
      </w:pPr>
      <w:r>
        <w:rPr>
          <w:sz w:val="21"/>
          <w:szCs w:val="21"/>
        </w:rPr>
        <w:t xml:space="preserve">Coverage well under 20%. Nine findings cannot evidence 62 canonical controls. High coverage here would mean evidence is being counted for controls it never touched.</w:t>
      </w:r>
    </w:p>
    <w:p>
      <w:pPr>
        <w:pStyle w:val="ListParagraph"/>
        <w:numPr>
          <w:ilvl w:val="0"/>
          <w:numId w:val="2"/>
        </w:numPr>
        <w:spacing w:after="90" w:line="264"/>
      </w:pPr>
      <w:r>
        <w:rPr>
          <w:sz w:val="21"/>
          <w:szCs w:val="21"/>
        </w:rPr>
        <w:t xml:space="preserve">Compliance noticeably higher than coverage. Of the controls actually assessed, most pass.</w:t>
      </w:r>
    </w:p>
    <w:p>
      <w:pPr>
        <w:pStyle w:val="ListParagraph"/>
        <w:numPr>
          <w:ilvl w:val="0"/>
          <w:numId w:val="2"/>
        </w:numPr>
        <w:spacing w:after="90" w:line="264"/>
      </w:pPr>
      <w:r>
        <w:rPr>
          <w:sz w:val="21"/>
          <w:szCs w:val="21"/>
        </w:rPr>
        <w:t xml:space="preserve">Controls Not Covered is the largest bucket.</w:t>
      </w:r>
    </w:p>
    <w:p>
      <w:pPr>
        <w:spacing w:after="140" w:line="276"/>
      </w:pPr>
      <w:r>
        <w:rPr>
          <w:color w:val="1A1A1A"/>
          <w:sz w:val="21"/>
          <w:szCs w:val="21"/>
        </w:rPr>
        <w:t xml:space="preserve">The key check is that these two numbers are reported separately and neither is presented as the headline alone. A blended figure would let this dataset look respectable when almost nothing was tested.</w:t>
      </w:r>
    </w:p>
    <w:p>
      <w:pPr>
        <w:pStyle w:val="Heading2"/>
        <w:spacing w:after="140" w:before="320"/>
      </w:pPr>
      <w:r>
        <w:rPr>
          <w:b/>
          <w:bCs/>
          <w:color w:val="12314F"/>
          <w:sz w:val="26"/>
          <w:szCs w:val="26"/>
        </w:rPr>
        <w:t xml:space="preserve">5.2  Worst-wins within a control</w:t>
      </w:r>
    </w:p>
    <w:p>
      <w:pPr>
        <w:spacing w:after="140" w:line="276"/>
      </w:pPr>
      <w:r>
        <w:rPr>
          <w:color w:val="1A1A1A"/>
          <w:sz w:val="21"/>
          <w:szCs w:val="21"/>
        </w:rPr>
        <w:t xml:space="preserve">Find CRY-01 in the results table. Expect fail. Three resources reported CRY-01 — wadi-prod-manifests failed, wadi-prod-invoices and wadi-erp-prod passed. Two out of three passing does not pass the control, because the failing bucket is the one that appears in the incident report.</w:t>
      </w:r>
    </w:p>
    <w:p>
      <w:pPr>
        <w:pStyle w:val="Heading2"/>
        <w:spacing w:after="140" w:before="320"/>
      </w:pPr>
      <w:r>
        <w:rPr>
          <w:b/>
          <w:bCs/>
          <w:color w:val="12314F"/>
          <w:sz w:val="26"/>
          <w:szCs w:val="26"/>
        </w:rPr>
        <w:t xml:space="preserve">5.3  Staleness</w:t>
      </w:r>
    </w:p>
    <w:p>
      <w:pPr>
        <w:spacing w:after="140" w:line="276"/>
      </w:pPr>
      <w:r>
        <w:rPr>
          <w:color w:val="1A1A1A"/>
          <w:sz w:val="21"/>
          <w:szCs w:val="21"/>
        </w:rPr>
        <w:t xml:space="preserve">Find NET-02 and CHG-01. Expect both reported as stale, not as pass: their only evidence is the k8s-inspector batch from nine days ago, and that connector's TTL is 24 hours.</w:t>
      </w:r>
    </w:p>
    <w:p>
      <w:pPr>
        <w:spacing w:after="140" w:line="276"/>
      </w:pPr>
      <w:r>
        <w:rPr>
          <w:color w:val="1A1A1A"/>
          <w:sz w:val="21"/>
          <w:szCs w:val="21"/>
        </w:rPr>
        <w:t xml:space="preserve">Create a second assessment with Include Stale Findings ticked. Expect both to score as pass and coverage to rise slightly. Both behaviours are correct; the tick makes the choice explicit rather than silent.</w:t>
      </w:r>
    </w:p>
    <w:p>
      <w:pPr>
        <w:pStyle w:val="Heading2"/>
        <w:spacing w:after="140" w:before="320"/>
      </w:pPr>
      <w:r>
        <w:rPr>
          <w:b/>
          <w:bCs/>
          <w:color w:val="12314F"/>
          <w:sz w:val="26"/>
          <w:szCs w:val="26"/>
        </w:rPr>
        <w:t xml:space="preserve">5.4  Multi-framework</w:t>
      </w:r>
    </w:p>
    <w:p>
      <w:pPr>
        <w:spacing w:after="140" w:line="276"/>
      </w:pPr>
      <w:r>
        <w:rPr>
          <w:color w:val="1A1A1A"/>
          <w:sz w:val="21"/>
          <w:szCs w:val="21"/>
        </w:rPr>
        <w:t xml:space="preserve">Scope an assessment to NCC, NCA-ECC-2 and ISO-27001-2022. Expect coverage to drop sharply — ECC-2 alone contributes 193 controls, almost all reached only by related edges that do not carry coverage.</w:t>
      </w:r>
    </w:p>
    <w:p>
      <w:pPr>
        <w:spacing w:after="80"/>
      </w:pPr>
    </w:p>
    <w:tbl>
      <w:tblPr>
        <w:tblW w:type="dxa" w:w="9360"/>
        <w:tblBorders>
          <w:top w:val="none"/>
          <w:left w:val="single" w:color="A8802C" w:sz="18"/>
          <w:bottom w:val="none"/>
          <w:right w:val="none"/>
          <w:insideH w:val="none"/>
          <w:insideV w:val="none"/>
        </w:tblBorders>
      </w:tblPr>
      <w:tblGrid>
        <w:gridCol w:w="9360"/>
      </w:tblGrid>
      <w:tr>
        <w:tc>
          <w:tcPr>
            <w:tcW w:type="dxa" w:w="9360"/>
            <w:shd w:fill="F2EEE6" w:val="clear"/>
            <w:tcMar>
              <w:top w:type="dxa" w:w="150"/>
              <w:left w:type="dxa" w:w="190"/>
              <w:bottom w:type="dxa" w:w="150"/>
              <w:right w:type="dxa" w:w="190"/>
            </w:tcMar>
          </w:tcPr>
          <w:p>
            <w:pPr>
              <w:spacing w:after="70"/>
            </w:pPr>
            <w:r>
              <w:rPr>
                <w:b/>
                <w:bCs/>
                <w:color w:val="A8802C"/>
                <w:sz w:val="20"/>
                <w:szCs w:val="20"/>
              </w:rPr>
              <w:t xml:space="preserve">Low ECC coverage is the correct result</w:t>
            </w:r>
          </w:p>
          <w:p>
            <w:pPr>
              <w:spacing w:after="0" w:line="268"/>
            </w:pPr>
            <w:r>
              <w:rPr>
                <w:sz w:val="20"/>
                <w:szCs w:val="20"/>
              </w:rPr>
              <w:t xml:space="preserve">Those ECC mappings are family-level derivations. Until a consultant narrows them to control level and marks them equivalent, they must not answer a regulator's control. This is the tool being honest, not the tool being broken — and it is worth understanding before a client sees the number.</w:t>
            </w:r>
          </w:p>
        </w:tc>
      </w:tr>
    </w:tbl>
    <w:p>
      <w:pPr>
        <w:pStyle w:val="Heading2"/>
        <w:spacing w:after="140" w:before="320"/>
      </w:pPr>
      <w:r>
        <w:rPr>
          <w:b/>
          <w:bCs/>
          <w:color w:val="12314F"/>
          <w:sz w:val="26"/>
          <w:szCs w:val="26"/>
        </w:rPr>
        <w:t xml:space="preserve">5.5  Submission protects evidence</w:t>
      </w:r>
    </w:p>
    <w:p>
      <w:pPr>
        <w:spacing w:after="140" w:line="276"/>
      </w:pPr>
      <w:r>
        <w:rPr>
          <w:color w:val="1A1A1A"/>
          <w:sz w:val="21"/>
          <w:szCs w:val="21"/>
        </w:rPr>
        <w:t xml:space="preserve">Submit the first assessment, then check NeoGRC Evidence Artifact. Artifacts behind a submitted assessment are exempt from the retention purge. Submitting is what makes evidence permanent.</w:t>
      </w:r>
    </w:p>
    <w:p>
      <w:pPr>
        <w:pStyle w:val="Heading1"/>
        <w:pageBreakBefore/>
        <w:pBdr>
          <w:bottom w:val="single" w:color="1B6E7D" w:sz="10" w:space="8"/>
        </w:pBdr>
        <w:spacing w:after="240" w:before="0"/>
      </w:pPr>
      <w:r>
        <w:rPr>
          <w:b/>
          <w:bCs/>
          <w:color w:val="12314F"/>
          <w:sz w:val="36"/>
          <w:szCs w:val="36"/>
        </w:rPr>
        <w:t xml:space="preserve">6  Declarative query fetchers</w:t>
      </w:r>
    </w:p>
    <w:p>
      <w:pPr>
        <w:spacing w:after="140" w:line="276"/>
      </w:pPr>
      <w:r>
        <w:rPr>
          <w:color w:val="1A1A1A"/>
          <w:sz w:val="21"/>
          <w:szCs w:val="21"/>
        </w:rPr>
        <w:t xml:space="preserve">Open NeoGRC Evidence Set, select ES-ERP-QUERY, and click Run Now. Expect a run touching 7 enabled fetchers; 2 of the 9 ship disabled because their correct filters depend on site conventions, as their Instructions explain.</w:t>
      </w:r>
    </w:p>
    <w:tbl>
      <w:tblPr>
        <w:tblW w:type="dxa" w:w="9360"/>
        <w:tblBorders>
          <w:top w:val="single" w:color="C9D0D6" w:sz="4"/>
          <w:left w:val="none"/>
          <w:bottom w:val="single" w:color="C9D0D6" w:sz="4"/>
          <w:right w:val="none"/>
          <w:insideH w:val="single" w:color="DDE2E6" w:sz="2"/>
          <w:insideV w:val="none"/>
        </w:tblBorders>
      </w:tblPr>
      <w:tblGrid>
        <w:gridCol w:w="2995"/>
        <w:gridCol w:w="6365"/>
      </w:tblGrid>
      <w:tr>
        <w:trPr>
          <w:tblHeader/>
        </w:trPr>
        <w:tc>
          <w:tcPr>
            <w:tcW w:type="dxa" w:w="2995"/>
            <w:shd w:fill="12314F" w:val="clear"/>
            <w:tcMar>
              <w:top w:type="dxa" w:w="90"/>
              <w:left w:type="dxa" w:w="120"/>
              <w:bottom w:type="dxa" w:w="90"/>
              <w:right w:type="dxa" w:w="120"/>
            </w:tcMar>
            <w:vAlign w:val="center"/>
          </w:tcPr>
          <w:p>
            <w:pPr>
              <w:spacing w:after="0" w:line="258"/>
            </w:pPr>
            <w:r>
              <w:rPr>
                <w:b/>
                <w:bCs/>
                <w:color w:val="FFFFFF"/>
                <w:sz w:val="18"/>
                <w:szCs w:val="18"/>
              </w:rPr>
              <w:t xml:space="preserve">Fetcher</w:t>
            </w:r>
          </w:p>
        </w:tc>
        <w:tc>
          <w:tcPr>
            <w:tcW w:type="dxa" w:w="6365"/>
            <w:shd w:fill="12314F" w:val="clear"/>
            <w:tcMar>
              <w:top w:type="dxa" w:w="90"/>
              <w:left w:type="dxa" w:w="120"/>
              <w:bottom w:type="dxa" w:w="90"/>
              <w:right w:type="dxa" w:w="120"/>
            </w:tcMar>
            <w:vAlign w:val="center"/>
          </w:tcPr>
          <w:p>
            <w:pPr>
              <w:spacing w:after="0" w:line="258"/>
            </w:pPr>
            <w:r>
              <w:rPr>
                <w:b/>
                <w:bCs/>
                <w:color w:val="FFFFFF"/>
                <w:sz w:val="18"/>
                <w:szCs w:val="18"/>
              </w:rPr>
              <w:t xml:space="preserve">Expect on the demo dataset</w:t>
            </w:r>
          </w:p>
        </w:tc>
      </w:tr>
      <w:tr>
        <w:tc>
          <w:tcPr>
            <w:tcW w:type="dxa" w:w="2995"/>
            <w:shd w:fill="FFFFFF"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EVD-Q-POLICY-REVIEW</w:t>
            </w:r>
          </w:p>
        </w:tc>
        <w:tc>
          <w:tcPr>
            <w:tcW w:type="dxa" w:w="6365"/>
            <w:shd w:fill="FFFFFF" w:val="clear"/>
            <w:tcMar>
              <w:top w:type="dxa" w:w="90"/>
              <w:left w:type="dxa" w:w="120"/>
              <w:bottom w:type="dxa" w:w="90"/>
              <w:right w:type="dxa" w:w="120"/>
            </w:tcMar>
            <w:vAlign w:val="center"/>
          </w:tcPr>
          <w:p>
            <w:pPr>
              <w:spacing w:after="0" w:line="258"/>
            </w:pPr>
            <w:r>
              <w:rPr>
                <w:color w:val="1A1A1A"/>
                <w:sz w:val="19"/>
                <w:szCs w:val="19"/>
              </w:rPr>
              <w:t xml:space="preserve">fail — DEMO-POL-002 is 435 days past review</w:t>
            </w:r>
          </w:p>
        </w:tc>
      </w:tr>
      <w:tr>
        <w:tc>
          <w:tcPr>
            <w:tcW w:type="dxa" w:w="2995"/>
            <w:shd w:fill="F7F6F3"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EVD-Q-EXCEPTION-EXPIRY</w:t>
            </w:r>
          </w:p>
        </w:tc>
        <w:tc>
          <w:tcPr>
            <w:tcW w:type="dxa" w:w="6365"/>
            <w:shd w:fill="F7F6F3" w:val="clear"/>
            <w:tcMar>
              <w:top w:type="dxa" w:w="90"/>
              <w:left w:type="dxa" w:w="120"/>
              <w:bottom w:type="dxa" w:w="90"/>
              <w:right w:type="dxa" w:w="120"/>
            </w:tcMar>
            <w:vAlign w:val="center"/>
          </w:tcPr>
          <w:p>
            <w:pPr>
              <w:spacing w:after="0" w:line="258"/>
            </w:pPr>
            <w:r>
              <w:rPr>
                <w:color w:val="1A1A1A"/>
                <w:sz w:val="19"/>
                <w:szCs w:val="19"/>
              </w:rPr>
              <w:t xml:space="preserve">fail — DEMO-EXC-002 expired 45 days ago and is still approved</w:t>
            </w:r>
          </w:p>
        </w:tc>
      </w:tr>
      <w:tr>
        <w:tc>
          <w:tcPr>
            <w:tcW w:type="dxa" w:w="2995"/>
            <w:shd w:fill="FFFFFF"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EVD-Q-VENDOR-DPA</w:t>
            </w:r>
          </w:p>
        </w:tc>
        <w:tc>
          <w:tcPr>
            <w:tcW w:type="dxa" w:w="6365"/>
            <w:shd w:fill="FFFFFF" w:val="clear"/>
            <w:tcMar>
              <w:top w:type="dxa" w:w="90"/>
              <w:left w:type="dxa" w:w="120"/>
              <w:bottom w:type="dxa" w:w="90"/>
              <w:right w:type="dxa" w:w="120"/>
            </w:tcMar>
            <w:vAlign w:val="center"/>
          </w:tcPr>
          <w:p>
            <w:pPr>
              <w:spacing w:after="0" w:line="258"/>
            </w:pPr>
            <w:r>
              <w:rPr>
                <w:color w:val="1A1A1A"/>
                <w:sz w:val="19"/>
                <w:szCs w:val="19"/>
              </w:rPr>
              <w:t xml:space="preserve">fail — Northline Payroll processes personal data with no DPA</w:t>
            </w:r>
          </w:p>
        </w:tc>
      </w:tr>
      <w:tr>
        <w:tc>
          <w:tcPr>
            <w:tcW w:type="dxa" w:w="2995"/>
            <w:shd w:fill="F7F6F3"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EVD-Q-RISK-REVIEW</w:t>
            </w:r>
          </w:p>
        </w:tc>
        <w:tc>
          <w:tcPr>
            <w:tcW w:type="dxa" w:w="6365"/>
            <w:shd w:fill="F7F6F3" w:val="clear"/>
            <w:tcMar>
              <w:top w:type="dxa" w:w="90"/>
              <w:left w:type="dxa" w:w="120"/>
              <w:bottom w:type="dxa" w:w="90"/>
              <w:right w:type="dxa" w:w="120"/>
            </w:tcMar>
            <w:vAlign w:val="center"/>
          </w:tcPr>
          <w:p>
            <w:pPr>
              <w:spacing w:after="0" w:line="258"/>
            </w:pPr>
            <w:r>
              <w:rPr>
                <w:color w:val="1A1A1A"/>
                <w:sz w:val="19"/>
                <w:szCs w:val="19"/>
              </w:rPr>
              <w:t xml:space="preserve">fail — DEMO-RSK-004 is past its review date</w:t>
            </w:r>
          </w:p>
        </w:tc>
      </w:tr>
      <w:tr>
        <w:tc>
          <w:tcPr>
            <w:tcW w:type="dxa" w:w="2995"/>
            <w:shd w:fill="FFFFFF"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EVD-Q-STALE-SESSIONS</w:t>
            </w:r>
          </w:p>
        </w:tc>
        <w:tc>
          <w:tcPr>
            <w:tcW w:type="dxa" w:w="6365"/>
            <w:shd w:fill="FFFFFF" w:val="clear"/>
            <w:tcMar>
              <w:top w:type="dxa" w:w="90"/>
              <w:left w:type="dxa" w:w="120"/>
              <w:bottom w:type="dxa" w:w="90"/>
              <w:right w:type="dxa" w:w="120"/>
            </w:tcMar>
            <w:vAlign w:val="center"/>
          </w:tcPr>
          <w:p>
            <w:pPr>
              <w:spacing w:after="0" w:line="258"/>
            </w:pPr>
            <w:r>
              <w:rPr>
                <w:color w:val="1A1A1A"/>
                <w:sz w:val="19"/>
                <w:szCs w:val="19"/>
              </w:rPr>
              <w:t xml:space="preserve">likely fail — the three demo users are dormant by design</w:t>
            </w:r>
          </w:p>
        </w:tc>
      </w:tr>
      <w:tr>
        <w:tc>
          <w:tcPr>
            <w:tcW w:type="dxa" w:w="2995"/>
            <w:shd w:fill="F7F6F3"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EVD-Q-API-KEYS</w:t>
            </w:r>
          </w:p>
        </w:tc>
        <w:tc>
          <w:tcPr>
            <w:tcW w:type="dxa" w:w="6365"/>
            <w:shd w:fill="F7F6F3" w:val="clear"/>
            <w:tcMar>
              <w:top w:type="dxa" w:w="90"/>
              <w:left w:type="dxa" w:w="120"/>
              <w:bottom w:type="dxa" w:w="90"/>
              <w:right w:type="dxa" w:w="120"/>
            </w:tcMar>
            <w:vAlign w:val="center"/>
          </w:tcPr>
          <w:p>
            <w:pPr>
              <w:spacing w:after="0" w:line="258"/>
            </w:pPr>
            <w:r>
              <w:rPr>
                <w:color w:val="1A1A1A"/>
                <w:sz w:val="19"/>
                <w:szCs w:val="19"/>
              </w:rPr>
              <w:t xml:space="preserve">depends on your site</w:t>
            </w:r>
          </w:p>
        </w:tc>
      </w:tr>
    </w:tbl>
    <w:p>
      <w:pPr>
        <w:spacing w:after="140" w:line="276"/>
      </w:pPr>
      <w:r>
        <w:rPr>
          <w:color w:val="1A1A1A"/>
          <w:sz w:val="21"/>
          <w:szCs w:val="21"/>
        </w:rPr>
        <w:t xml:space="preserve">Open a failing finding from one of these. Expect one resource per failing row, named. "Four vendors" is a status; naming the four is a task list.</w:t>
      </w:r>
    </w:p>
    <w:p>
      <w:pPr>
        <w:pStyle w:val="Heading2"/>
        <w:spacing w:after="140" w:before="320"/>
      </w:pPr>
      <w:r>
        <w:rPr>
          <w:b/>
          <w:bCs/>
          <w:color w:val="12314F"/>
          <w:sz w:val="26"/>
          <w:szCs w:val="26"/>
        </w:rPr>
        <w:t xml:space="preserve">6.1  Save-time validation</w:t>
      </w:r>
    </w:p>
    <w:tbl>
      <w:tblPr>
        <w:tblW w:type="dxa" w:w="9360"/>
        <w:tblBorders>
          <w:top w:val="single" w:color="C9D0D6" w:sz="4"/>
          <w:left w:val="none"/>
          <w:bottom w:val="single" w:color="C9D0D6" w:sz="4"/>
          <w:right w:val="none"/>
          <w:insideH w:val="single" w:color="DDE2E6" w:sz="2"/>
          <w:insideV w:val="none"/>
        </w:tblBorders>
      </w:tblPr>
      <w:tblGrid>
        <w:gridCol w:w="2808"/>
        <w:gridCol w:w="6552"/>
      </w:tblGrid>
      <w:tr>
        <w:trPr>
          <w:tblHeader/>
        </w:trPr>
        <w:tc>
          <w:tcPr>
            <w:tcW w:type="dxa" w:w="2808"/>
            <w:shd w:fill="12314F" w:val="clear"/>
            <w:tcMar>
              <w:top w:type="dxa" w:w="90"/>
              <w:left w:type="dxa" w:w="120"/>
              <w:bottom w:type="dxa" w:w="90"/>
              <w:right w:type="dxa" w:w="120"/>
            </w:tcMar>
            <w:vAlign w:val="center"/>
          </w:tcPr>
          <w:p>
            <w:pPr>
              <w:spacing w:after="0" w:line="258"/>
            </w:pPr>
            <w:r>
              <w:rPr>
                <w:b/>
                <w:bCs/>
                <w:color w:val="FFFFFF"/>
                <w:sz w:val="18"/>
                <w:szCs w:val="18"/>
              </w:rPr>
              <w:t xml:space="preserve">Change Filters to</w:t>
            </w:r>
          </w:p>
        </w:tc>
        <w:tc>
          <w:tcPr>
            <w:tcW w:type="dxa" w:w="6552"/>
            <w:shd w:fill="12314F" w:val="clear"/>
            <w:tcMar>
              <w:top w:type="dxa" w:w="90"/>
              <w:left w:type="dxa" w:w="120"/>
              <w:bottom w:type="dxa" w:w="90"/>
              <w:right w:type="dxa" w:w="120"/>
            </w:tcMar>
            <w:vAlign w:val="center"/>
          </w:tcPr>
          <w:p>
            <w:pPr>
              <w:spacing w:after="0" w:line="258"/>
            </w:pPr>
            <w:r>
              <w:rPr>
                <w:b/>
                <w:bCs/>
                <w:color w:val="FFFFFF"/>
                <w:sz w:val="18"/>
                <w:szCs w:val="18"/>
              </w:rPr>
              <w:t xml:space="preserve">Expect</w:t>
            </w:r>
          </w:p>
        </w:tc>
      </w:tr>
      <w:tr>
        <w:tc>
          <w:tcPr>
            <w:tcW w:type="dxa" w:w="2808"/>
            <w:shd w:fill="FFFFFF"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{"nonexistent_field": 1}</w:t>
            </w:r>
          </w:p>
        </w:tc>
        <w:tc>
          <w:tcPr>
            <w:tcW w:type="dxa" w:w="6552"/>
            <w:shd w:fill="FFFFFF" w:val="clear"/>
            <w:tcMar>
              <w:top w:type="dxa" w:w="90"/>
              <w:left w:type="dxa" w:w="120"/>
              <w:bottom w:type="dxa" w:w="90"/>
              <w:right w:type="dxa" w:w="120"/>
            </w:tcMar>
            <w:vAlign w:val="center"/>
          </w:tcPr>
          <w:p>
            <w:pPr>
              <w:spacing w:after="0" w:line="258"/>
            </w:pPr>
            <w:r>
              <w:rPr>
                <w:color w:val="1A1A1A"/>
                <w:sz w:val="19"/>
                <w:szCs w:val="19"/>
              </w:rPr>
              <w:t xml:space="preserve">Rejection at save, naming the field and the DocType — not at run time. A query that fails at 2am inside a scheduled run surfaces as an unexplained collection fault</w:t>
            </w:r>
          </w:p>
        </w:tc>
      </w:tr>
      <w:tr>
        <w:tc>
          <w:tcPr>
            <w:tcW w:type="dxa" w:w="2808"/>
            <w:shd w:fill="F7F6F3"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{"api_secret": ["is", "set"]}</w:t>
            </w:r>
          </w:p>
        </w:tc>
        <w:tc>
          <w:tcPr>
            <w:tcW w:type="dxa" w:w="6552"/>
            <w:shd w:fill="F7F6F3" w:val="clear"/>
            <w:tcMar>
              <w:top w:type="dxa" w:w="90"/>
              <w:left w:type="dxa" w:w="120"/>
              <w:bottom w:type="dxa" w:w="90"/>
              <w:right w:type="dxa" w:w="120"/>
            </w:tcMar>
            <w:vAlign w:val="center"/>
          </w:tcPr>
          <w:p>
            <w:pPr>
              <w:spacing w:after="0" w:line="258"/>
            </w:pPr>
            <w:r>
              <w:rPr>
                <w:color w:val="1A1A1A"/>
                <w:sz w:val="19"/>
                <w:szCs w:val="19"/>
              </w:rPr>
              <w:t xml:space="preserve">Refusal. Credential-shaped fields cannot be recorded as evidence: artifacts are hashed, attached and retained, and a secret must not become a permanent audit record</w:t>
            </w:r>
          </w:p>
        </w:tc>
      </w:tr>
      <w:tr>
        <w:tc>
          <w:tcPr>
            <w:tcW w:type="dxa" w:w="2808"/>
            <w:shd w:fill="FFFFFF"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{"enabled": 1,}</w:t>
            </w:r>
          </w:p>
        </w:tc>
        <w:tc>
          <w:tcPr>
            <w:tcW w:type="dxa" w:w="6552"/>
            <w:shd w:fill="FFFFFF" w:val="clear"/>
            <w:tcMar>
              <w:top w:type="dxa" w:w="90"/>
              <w:left w:type="dxa" w:w="120"/>
              <w:bottom w:type="dxa" w:w="90"/>
              <w:right w:type="dxa" w:w="120"/>
            </w:tcMar>
            <w:vAlign w:val="center"/>
          </w:tcPr>
          <w:p>
            <w:pPr>
              <w:spacing w:after="0" w:line="258"/>
            </w:pPr>
            <w:r>
              <w:rPr>
                <w:color w:val="1A1A1A"/>
                <w:sz w:val="19"/>
                <w:szCs w:val="19"/>
              </w:rPr>
              <w:t xml:space="preserve">Rejection naming the JSON parse error</w:t>
            </w:r>
          </w:p>
        </w:tc>
      </w:tr>
    </w:tbl>
    <w:p>
      <w:pPr>
        <w:pStyle w:val="Heading2"/>
        <w:spacing w:after="140" w:before="320"/>
      </w:pPr>
      <w:r>
        <w:rPr>
          <w:b/>
          <w:bCs/>
          <w:color w:val="12314F"/>
          <w:sz w:val="26"/>
          <w:szCs w:val="26"/>
        </w:rPr>
        <w:t xml:space="preserve">6.2  Conditions</w:t>
      </w:r>
    </w:p>
    <w:p>
      <w:pPr>
        <w:spacing w:after="140" w:line="276"/>
      </w:pPr>
      <w:r>
        <w:rPr>
          <w:color w:val="1A1A1A"/>
          <w:sz w:val="21"/>
          <w:szCs w:val="21"/>
        </w:rPr>
        <w:t xml:space="preserve">Change EVD-Q-POLICY-REVIEW's condition to COUNT_LTE_THRESHOLD with threshold 5 and re-run. Expect a pass: one overdue policy is within a tolerance of five.</w:t>
      </w:r>
    </w:p>
    <w:p>
      <w:pPr>
        <w:pStyle w:val="Heading1"/>
        <w:pageBreakBefore/>
        <w:pBdr>
          <w:bottom w:val="single" w:color="1B6E7D" w:sz="10" w:space="8"/>
        </w:pBdr>
        <w:spacing w:after="240" w:before="0"/>
      </w:pPr>
      <w:r>
        <w:rPr>
          <w:b/>
          <w:bCs/>
          <w:color w:val="12314F"/>
          <w:sz w:val="36"/>
          <w:szCs w:val="36"/>
        </w:rPr>
        <w:t xml:space="preserve">7  Collection, preflight and exit codes</w:t>
      </w:r>
    </w:p>
    <w:p>
      <w:pPr>
        <w:spacing w:after="140" w:line="276"/>
      </w:pPr>
      <w:r>
        <w:rPr>
          <w:color w:val="1A1A1A"/>
          <w:sz w:val="21"/>
          <w:szCs w:val="21"/>
        </w:rPr>
        <w:t xml:space="preserve">Run ES-ERP-BASELINE. Expect 11 fetchers, artifacts with SHA-256 hashes attached to the run, and findings emitted — with no credentials and no outbound network. Open any artifact and confirm the hash is populated and the file attached.</w:t>
      </w:r>
    </w:p>
    <w:p>
      <w:pPr>
        <w:spacing w:after="140" w:line="276"/>
      </w:pPr>
      <w:r>
        <w:rPr>
          <w:color w:val="1A1A1A"/>
          <w:sz w:val="21"/>
          <w:szCs w:val="21"/>
        </w:rPr>
        <w:t xml:space="preserve">Create a fetcher with no validation rules and run it. Expect inconclusive, never pass. Collecting a file is not the same as demonstrating a control.</w:t>
      </w:r>
    </w:p>
    <w:tbl>
      <w:tblPr>
        <w:tblW w:type="dxa" w:w="9360"/>
        <w:tblBorders>
          <w:top w:val="single" w:color="C9D0D6" w:sz="4"/>
          <w:left w:val="none"/>
          <w:bottom w:val="single" w:color="C9D0D6" w:sz="4"/>
          <w:right w:val="none"/>
          <w:insideH w:val="single" w:color="DDE2E6" w:sz="2"/>
          <w:insideV w:val="none"/>
        </w:tblBorders>
      </w:tblPr>
      <w:tblGrid>
        <w:gridCol w:w="4118"/>
        <w:gridCol w:w="5242"/>
      </w:tblGrid>
      <w:tr>
        <w:trPr>
          <w:tblHeader/>
        </w:trPr>
        <w:tc>
          <w:tcPr>
            <w:tcW w:type="dxa" w:w="4118"/>
            <w:shd w:fill="12314F" w:val="clear"/>
            <w:tcMar>
              <w:top w:type="dxa" w:w="90"/>
              <w:left w:type="dxa" w:w="120"/>
              <w:bottom w:type="dxa" w:w="90"/>
              <w:right w:type="dxa" w:w="120"/>
            </w:tcMar>
            <w:vAlign w:val="center"/>
          </w:tcPr>
          <w:p>
            <w:pPr>
              <w:spacing w:after="0" w:line="258"/>
            </w:pPr>
            <w:r>
              <w:rPr>
                <w:b/>
                <w:bCs/>
                <w:color w:val="FFFFFF"/>
                <w:sz w:val="18"/>
                <w:szCs w:val="18"/>
              </w:rPr>
              <w:t xml:space="preserve">Do</w:t>
            </w:r>
          </w:p>
        </w:tc>
        <w:tc>
          <w:tcPr>
            <w:tcW w:type="dxa" w:w="5242"/>
            <w:shd w:fill="12314F" w:val="clear"/>
            <w:tcMar>
              <w:top w:type="dxa" w:w="90"/>
              <w:left w:type="dxa" w:w="120"/>
              <w:bottom w:type="dxa" w:w="90"/>
              <w:right w:type="dxa" w:w="120"/>
            </w:tcMar>
            <w:vAlign w:val="center"/>
          </w:tcPr>
          <w:p>
            <w:pPr>
              <w:spacing w:after="0" w:line="258"/>
            </w:pPr>
            <w:r>
              <w:rPr>
                <w:b/>
                <w:bCs/>
                <w:color w:val="FFFFFF"/>
                <w:sz w:val="18"/>
                <w:szCs w:val="18"/>
              </w:rPr>
              <w:t xml:space="preserve">Expect</w:t>
            </w:r>
          </w:p>
        </w:tc>
      </w:tr>
      <w:tr>
        <w:tc>
          <w:tcPr>
            <w:tcW w:type="dxa" w:w="4118"/>
            <w:shd w:fill="FFFFFF" w:val="clear"/>
            <w:tcMar>
              <w:top w:type="dxa" w:w="90"/>
              <w:left w:type="dxa" w:w="120"/>
              <w:bottom w:type="dxa" w:w="90"/>
              <w:right w:type="dxa" w:w="120"/>
            </w:tcMar>
            <w:vAlign w:val="center"/>
          </w:tcPr>
          <w:p>
            <w:pPr>
              <w:spacing w:after="0" w:line="258"/>
            </w:pPr>
            <w:r>
              <w:rPr>
                <w:color w:val="1A1A1A"/>
                <w:sz w:val="19"/>
                <w:szCs w:val="19"/>
              </w:rPr>
              <w:t xml:space="preserve">Enable aws-inspector with no Script Root, click Preflight Check</w:t>
            </w:r>
          </w:p>
        </w:tc>
        <w:tc>
          <w:tcPr>
            <w:tcW w:type="dxa" w:w="5242"/>
            <w:shd w:fill="FFFFFF" w:val="clear"/>
            <w:tcMar>
              <w:top w:type="dxa" w:w="90"/>
              <w:left w:type="dxa" w:w="120"/>
              <w:bottom w:type="dxa" w:w="90"/>
              <w:right w:type="dxa" w:w="120"/>
            </w:tcMar>
            <w:vAlign w:val="center"/>
          </w:tcPr>
          <w:p>
            <w:pPr>
              <w:spacing w:after="0" w:line="258"/>
            </w:pPr>
            <w:r>
              <w:rPr>
                <w:color w:val="1A1A1A"/>
                <w:sz w:val="19"/>
                <w:szCs w:val="19"/>
              </w:rPr>
              <w:t xml:space="preserve">Exit code 5 and one clear message — not eleven separate fetcher failures thirty seconds apart</w:t>
            </w:r>
          </w:p>
        </w:tc>
      </w:tr>
      <w:tr>
        <w:tc>
          <w:tcPr>
            <w:tcW w:type="dxa" w:w="4118"/>
            <w:shd w:fill="F7F6F3" w:val="clear"/>
            <w:tcMar>
              <w:top w:type="dxa" w:w="90"/>
              <w:left w:type="dxa" w:w="120"/>
              <w:bottom w:type="dxa" w:w="90"/>
              <w:right w:type="dxa" w:w="120"/>
            </w:tcMar>
            <w:vAlign w:val="center"/>
          </w:tcPr>
          <w:p>
            <w:pPr>
              <w:spacing w:after="0" w:line="258"/>
            </w:pPr>
            <w:r>
              <w:rPr>
                <w:color w:val="1A1A1A"/>
                <w:sz w:val="19"/>
                <w:szCs w:val="19"/>
              </w:rPr>
              <w:t xml:space="preserve">Set Script Root to an empty directory, run one fetcher</w:t>
            </w:r>
          </w:p>
        </w:tc>
        <w:tc>
          <w:tcPr>
            <w:tcW w:type="dxa" w:w="5242"/>
            <w:shd w:fill="F7F6F3" w:val="clear"/>
            <w:tcMar>
              <w:top w:type="dxa" w:w="90"/>
              <w:left w:type="dxa" w:w="120"/>
              <w:bottom w:type="dxa" w:w="90"/>
              <w:right w:type="dxa" w:w="120"/>
            </w:tcMar>
            <w:vAlign w:val="center"/>
          </w:tcPr>
          <w:p>
            <w:pPr>
              <w:spacing w:after="0" w:line="258"/>
            </w:pPr>
            <w:r>
              <w:rPr>
                <w:color w:val="1A1A1A"/>
                <w:sz w:val="19"/>
                <w:szCs w:val="19"/>
              </w:rPr>
              <w:t xml:space="preserve">Exit 5, script not found, and no findings emitted. A failed run must never emit a pass</w:t>
            </w:r>
          </w:p>
        </w:tc>
      </w:tr>
      <w:tr>
        <w:tc>
          <w:tcPr>
            <w:tcW w:type="dxa" w:w="4118"/>
            <w:shd w:fill="FFFFFF" w:val="clear"/>
            <w:tcMar>
              <w:top w:type="dxa" w:w="90"/>
              <w:left w:type="dxa" w:w="120"/>
              <w:bottom w:type="dxa" w:w="90"/>
              <w:right w:type="dxa" w:w="120"/>
            </w:tcMar>
            <w:vAlign w:val="center"/>
          </w:tcPr>
          <w:p>
            <w:pPr>
              <w:spacing w:after="0" w:line="258"/>
            </w:pPr>
            <w:r>
              <w:rPr>
                <w:color w:val="1A1A1A"/>
                <w:sz w:val="19"/>
                <w:szCs w:val="19"/>
              </w:rPr>
              <w:t xml:space="preserve">Set a fetcher handler to ../../etc/passwd</w:t>
            </w:r>
          </w:p>
        </w:tc>
        <w:tc>
          <w:tcPr>
            <w:tcW w:type="dxa" w:w="5242"/>
            <w:shd w:fill="FFFFFF" w:val="clear"/>
            <w:tcMar>
              <w:top w:type="dxa" w:w="90"/>
              <w:left w:type="dxa" w:w="120"/>
              <w:bottom w:type="dxa" w:w="90"/>
              <w:right w:type="dxa" w:w="120"/>
            </w:tcMar>
            <w:vAlign w:val="center"/>
          </w:tcPr>
          <w:p>
            <w:pPr>
              <w:spacing w:after="0" w:line="258"/>
            </w:pPr>
            <w:r>
              <w:rPr>
                <w:color w:val="1A1A1A"/>
                <w:sz w:val="19"/>
                <w:szCs w:val="19"/>
              </w:rPr>
              <w:t xml:space="preserve">Refusal. Also try an absolute path and a symlink pointing outside the root</w:t>
            </w:r>
          </w:p>
        </w:tc>
      </w:tr>
    </w:tbl>
    <w:p>
      <w:pPr>
        <w:spacing w:after="140" w:line="276"/>
      </w:pPr>
      <w:r>
        <w:rPr>
          <w:i/>
          <w:iCs/>
          <w:color w:val="4A5C6A"/>
          <w:sz w:val="21"/>
          <w:szCs w:val="21"/>
        </w:rPr>
        <w:t xml:space="preserve">Disable aws-inspector again before continuing.</w:t>
      </w:r>
    </w:p>
    <w:p>
      <w:pPr>
        <w:pStyle w:val="Heading1"/>
        <w:pageBreakBefore/>
        <w:pBdr>
          <w:bottom w:val="single" w:color="1B6E7D" w:sz="10" w:space="8"/>
        </w:pBdr>
        <w:spacing w:after="240" w:before="0"/>
      </w:pPr>
      <w:r>
        <w:rPr>
          <w:b/>
          <w:bCs/>
          <w:color w:val="12314F"/>
          <w:sz w:val="36"/>
          <w:szCs w:val="36"/>
        </w:rPr>
        <w:t xml:space="preserve">8  Programme records</w:t>
      </w:r>
    </w:p>
    <w:p>
      <w:pPr>
        <w:pStyle w:val="Heading2"/>
        <w:spacing w:after="140" w:before="320"/>
      </w:pPr>
      <w:r>
        <w:rPr>
          <w:b/>
          <w:bCs/>
          <w:color w:val="12314F"/>
          <w:sz w:val="26"/>
          <w:szCs w:val="26"/>
        </w:rPr>
        <w:t xml:space="preserve">8.1  Risk scoring</w:t>
      </w:r>
    </w:p>
    <w:p>
      <w:pPr>
        <w:spacing w:after="140" w:line="276"/>
      </w:pPr>
      <w:r>
        <w:rPr>
          <w:color w:val="1A1A1A"/>
          <w:sz w:val="21"/>
          <w:szCs w:val="21"/>
        </w:rPr>
        <w:t xml:space="preserve">Open DEMO-RSK-001. Expect inherent 4×5 = 20 banded Critical, residual 2×5 = 10 banded Medium. Bands recompute on save.</w:t>
      </w:r>
    </w:p>
    <w:p>
      <w:pPr>
        <w:spacing w:after="140" w:line="276"/>
      </w:pPr>
      <w:r>
        <w:rPr>
          <w:color w:val="1A1A1A"/>
          <w:sz w:val="21"/>
          <w:szCs w:val="21"/>
        </w:rPr>
        <w:t xml:space="preserve">Open DEMO-RSK-002 (residual 4×4 = 16, High) and change Treatment to accept without linking an exception. Expect this to be blocked. Undo the change.</w:t>
      </w:r>
    </w:p>
    <w:p>
      <w:pPr>
        <w:pStyle w:val="Heading2"/>
        <w:spacing w:after="140" w:before="320"/>
      </w:pPr>
      <w:r>
        <w:rPr>
          <w:b/>
          <w:bCs/>
          <w:color w:val="12314F"/>
          <w:sz w:val="26"/>
          <w:szCs w:val="26"/>
        </w:rPr>
        <w:t xml:space="preserve">8.2  Exception segregation of duties</w:t>
      </w:r>
    </w:p>
    <w:p>
      <w:pPr>
        <w:spacing w:after="140" w:line="276"/>
      </w:pPr>
      <w:r>
        <w:rPr>
          <w:color w:val="1A1A1A"/>
          <w:sz w:val="21"/>
          <w:szCs w:val="21"/>
        </w:rPr>
        <w:t xml:space="preserve">DEMO-EXC-003 is in requested state, raised by Sara. As Sara, try to approve it. Expect refusal.</w:t>
      </w:r>
    </w:p>
    <w:p>
      <w:pPr>
        <w:spacing w:after="80"/>
      </w:pPr>
    </w:p>
    <w:tbl>
      <w:tblPr>
        <w:tblW w:type="dxa" w:w="9360"/>
        <w:tblBorders>
          <w:top w:val="none"/>
          <w:left w:val="single" w:color="8C3A34" w:sz="18"/>
          <w:bottom w:val="none"/>
          <w:right w:val="none"/>
          <w:insideH w:val="none"/>
          <w:insideV w:val="none"/>
        </w:tblBorders>
      </w:tblPr>
      <w:tblGrid>
        <w:gridCol w:w="9360"/>
      </w:tblGrid>
      <w:tr>
        <w:tc>
          <w:tcPr>
            <w:tcW w:type="dxa" w:w="9360"/>
            <w:shd w:fill="F2EEE6" w:val="clear"/>
            <w:tcMar>
              <w:top w:type="dxa" w:w="150"/>
              <w:left w:type="dxa" w:w="190"/>
              <w:bottom w:type="dxa" w:w="150"/>
              <w:right w:type="dxa" w:w="190"/>
            </w:tcMar>
          </w:tcPr>
          <w:p>
            <w:pPr>
              <w:spacing w:after="70"/>
            </w:pPr>
            <w:r>
              <w:rPr>
                <w:b/>
                <w:bCs/>
                <w:color w:val="8C3A34"/>
                <w:sz w:val="20"/>
                <w:szCs w:val="20"/>
              </w:rPr>
              <w:t xml:space="preserve">This one is deliberately not configurable</w:t>
            </w:r>
          </w:p>
          <w:p>
            <w:pPr>
              <w:spacing w:after="0" w:line="268"/>
            </w:pPr>
            <w:r>
              <w:rPr>
                <w:sz w:val="20"/>
                <w:szCs w:val="20"/>
              </w:rPr>
              <w:t xml:space="preserve">An exception register where the requester signs their own approval documents nothing, and it is the first thing a competent auditor tests. Approving as Noor should succeed. Creating an exception with no expiry date should also be blocked — an exception without an end date is a permanent policy change wearing a temporary label.</w:t>
            </w:r>
          </w:p>
        </w:tc>
      </w:tr>
    </w:tbl>
    <w:p>
      <w:pPr>
        <w:pStyle w:val="Heading2"/>
        <w:spacing w:after="140" w:before="320"/>
      </w:pPr>
      <w:r>
        <w:rPr>
          <w:b/>
          <w:bCs/>
          <w:color w:val="12314F"/>
          <w:sz w:val="26"/>
          <w:szCs w:val="26"/>
        </w:rPr>
        <w:t xml:space="preserve">8.3  Vendor PDPL gate</w:t>
      </w:r>
    </w:p>
    <w:p>
      <w:pPr>
        <w:spacing w:after="140" w:line="276"/>
      </w:pPr>
      <w:r>
        <w:rPr>
          <w:color w:val="1A1A1A"/>
          <w:sz w:val="21"/>
          <w:szCs w:val="21"/>
        </w:rPr>
        <w:t xml:space="preserve">Open DEMO-VEN-002 (Northline Payroll), confirm Processes Personal Data is ticked and DPA Reference is empty, and save. Expect a warning or block: under PDPL Article 20 a processor without a contract is the controller's breach, not the processor's. Also check that critical tier carries a shorter review cadence than low tier.</w:t>
      </w:r>
    </w:p>
    <w:p>
      <w:pPr>
        <w:pStyle w:val="Heading2"/>
        <w:spacing w:after="140" w:before="320"/>
      </w:pPr>
      <w:r>
        <w:rPr>
          <w:b/>
          <w:bCs/>
          <w:color w:val="12314F"/>
          <w:sz w:val="26"/>
          <w:szCs w:val="26"/>
        </w:rPr>
        <w:t xml:space="preserve">8.4  Policy acknowledgment</w:t>
      </w:r>
    </w:p>
    <w:p>
      <w:pPr>
        <w:spacing w:after="140" w:line="276"/>
      </w:pPr>
      <w:r>
        <w:rPr>
          <w:color w:val="1A1A1A"/>
          <w:sz w:val="21"/>
          <w:szCs w:val="21"/>
        </w:rPr>
        <w:t xml:space="preserve">Open DEMO-POL-003, currently draft, and change status to approved. Expect a queued job issuing one NeoGRC Policy Acknowledgment row per active Employee, or per enabled desk user if ERPNext is not installed.</w:t>
      </w:r>
    </w:p>
    <w:p>
      <w:pPr>
        <w:spacing w:after="140" w:line="276"/>
      </w:pPr>
      <w:r>
        <w:rPr>
          <w:color w:val="1A1A1A"/>
          <w:sz w:val="21"/>
          <w:szCs w:val="21"/>
        </w:rPr>
        <w:t xml:space="preserve">As any user, try to mark another person's row acknowledged. Expect refusal — an acknowledgment register signed off in a bulk edit is evidence of nothing.</w:t>
      </w:r>
    </w:p>
    <w:p>
      <w:pPr>
        <w:spacing w:after="140" w:line="276"/>
      </w:pPr>
      <w:r>
        <w:rPr>
          <w:color w:val="1A1A1A"/>
          <w:sz w:val="21"/>
          <w:szCs w:val="21"/>
        </w:rPr>
        <w:t xml:space="preserve">Bump the policy version to 0.4 and re-approve. Expect a fresh round of rows against the new version: sign-off on v0.3 does not carry forward.</w:t>
      </w:r>
    </w:p>
    <w:p>
      <w:pPr>
        <w:pStyle w:val="Heading1"/>
        <w:pageBreakBefore/>
        <w:pBdr>
          <w:bottom w:val="single" w:color="1B6E7D" w:sz="10" w:space="8"/>
        </w:pBdr>
        <w:spacing w:after="240" w:before="0"/>
      </w:pPr>
      <w:r>
        <w:rPr>
          <w:b/>
          <w:bCs/>
          <w:color w:val="12314F"/>
          <w:sz w:val="36"/>
          <w:szCs w:val="36"/>
        </w:rPr>
        <w:t xml:space="preserve">9  Reports, jobs and settings</w:t>
      </w:r>
    </w:p>
    <w:p>
      <w:pPr>
        <w:pStyle w:val="Heading2"/>
        <w:spacing w:after="140" w:before="320"/>
      </w:pPr>
      <w:r>
        <w:rPr>
          <w:b/>
          <w:bCs/>
          <w:color w:val="12314F"/>
          <w:sz w:val="26"/>
          <w:szCs w:val="26"/>
        </w:rPr>
        <w:t xml:space="preserve">9.1  Reports</w:t>
      </w:r>
    </w:p>
    <w:tbl>
      <w:tblPr>
        <w:tblW w:type="dxa" w:w="9360"/>
        <w:tblBorders>
          <w:top w:val="single" w:color="C9D0D6" w:sz="4"/>
          <w:left w:val="none"/>
          <w:bottom w:val="single" w:color="C9D0D6" w:sz="4"/>
          <w:right w:val="none"/>
          <w:insideH w:val="single" w:color="DDE2E6" w:sz="2"/>
          <w:insideV w:val="none"/>
        </w:tblBorders>
      </w:tblPr>
      <w:tblGrid>
        <w:gridCol w:w="2808"/>
        <w:gridCol w:w="6552"/>
      </w:tblGrid>
      <w:tr>
        <w:trPr>
          <w:tblHeader/>
        </w:trPr>
        <w:tc>
          <w:tcPr>
            <w:tcW w:type="dxa" w:w="2808"/>
            <w:shd w:fill="12314F" w:val="clear"/>
            <w:tcMar>
              <w:top w:type="dxa" w:w="90"/>
              <w:left w:type="dxa" w:w="120"/>
              <w:bottom w:type="dxa" w:w="90"/>
              <w:right w:type="dxa" w:w="120"/>
            </w:tcMar>
            <w:vAlign w:val="center"/>
          </w:tcPr>
          <w:p>
            <w:pPr>
              <w:spacing w:after="0" w:line="258"/>
            </w:pPr>
            <w:r>
              <w:rPr>
                <w:b/>
                <w:bCs/>
                <w:color w:val="FFFFFF"/>
                <w:sz w:val="18"/>
                <w:szCs w:val="18"/>
              </w:rPr>
              <w:t xml:space="preserve">Report</w:t>
            </w:r>
          </w:p>
        </w:tc>
        <w:tc>
          <w:tcPr>
            <w:tcW w:type="dxa" w:w="6552"/>
            <w:shd w:fill="12314F" w:val="clear"/>
            <w:tcMar>
              <w:top w:type="dxa" w:w="90"/>
              <w:left w:type="dxa" w:w="120"/>
              <w:bottom w:type="dxa" w:w="90"/>
              <w:right w:type="dxa" w:w="120"/>
            </w:tcMar>
            <w:vAlign w:val="center"/>
          </w:tcPr>
          <w:p>
            <w:pPr>
              <w:spacing w:after="0" w:line="258"/>
            </w:pPr>
            <w:r>
              <w:rPr>
                <w:b/>
                <w:bCs/>
                <w:color w:val="FFFFFF"/>
                <w:sz w:val="18"/>
                <w:szCs w:val="18"/>
              </w:rPr>
              <w:t xml:space="preserve">Expect</w:t>
            </w:r>
          </w:p>
        </w:tc>
      </w:tr>
      <w:tr>
        <w:tc>
          <w:tcPr>
            <w:tcW w:type="dxa" w:w="2808"/>
            <w:shd w:fill="FFFFFF" w:val="clear"/>
            <w:tcMar>
              <w:top w:type="dxa" w:w="90"/>
              <w:left w:type="dxa" w:w="120"/>
              <w:bottom w:type="dxa" w:w="90"/>
              <w:right w:type="dxa" w:w="120"/>
            </w:tcMar>
            <w:vAlign w:val="center"/>
          </w:tcPr>
          <w:p>
            <w:pPr>
              <w:spacing w:after="0" w:line="258"/>
            </w:pPr>
            <w:r>
              <w:rPr>
                <w:color w:val="1A1A1A"/>
                <w:sz w:val="19"/>
                <w:szCs w:val="19"/>
              </w:rPr>
              <w:t xml:space="preserve">Control Coverage Matrix</w:t>
            </w:r>
          </w:p>
        </w:tc>
        <w:tc>
          <w:tcPr>
            <w:tcW w:type="dxa" w:w="6552"/>
            <w:shd w:fill="FFFFFF" w:val="clear"/>
            <w:tcMar>
              <w:top w:type="dxa" w:w="90"/>
              <w:left w:type="dxa" w:w="120"/>
              <w:bottom w:type="dxa" w:w="90"/>
              <w:right w:type="dxa" w:w="120"/>
            </w:tcMar>
            <w:vAlign w:val="center"/>
          </w:tcPr>
          <w:p>
            <w:pPr>
              <w:spacing w:after="0" w:line="258"/>
            </w:pPr>
            <w:r>
              <w:rPr>
                <w:color w:val="1A1A1A"/>
                <w:sz w:val="19"/>
                <w:szCs w:val="19"/>
              </w:rPr>
              <w:t xml:space="preserve">Which of the 62 NCC controls a fetcher can evidence, and which fetcher. Most rows blank — that is the honest picture</w:t>
            </w:r>
          </w:p>
        </w:tc>
      </w:tr>
      <w:tr>
        <w:tc>
          <w:tcPr>
            <w:tcW w:type="dxa" w:w="2808"/>
            <w:shd w:fill="F7F6F3" w:val="clear"/>
            <w:tcMar>
              <w:top w:type="dxa" w:w="90"/>
              <w:left w:type="dxa" w:w="120"/>
              <w:bottom w:type="dxa" w:w="90"/>
              <w:right w:type="dxa" w:w="120"/>
            </w:tcMar>
            <w:vAlign w:val="center"/>
          </w:tcPr>
          <w:p>
            <w:pPr>
              <w:spacing w:after="0" w:line="258"/>
            </w:pPr>
            <w:r>
              <w:rPr>
                <w:color w:val="1A1A1A"/>
                <w:sz w:val="19"/>
                <w:szCs w:val="19"/>
              </w:rPr>
              <w:t xml:space="preserve">Findings by Control</w:t>
            </w:r>
          </w:p>
        </w:tc>
        <w:tc>
          <w:tcPr>
            <w:tcW w:type="dxa" w:w="6552"/>
            <w:shd w:fill="F7F6F3" w:val="clear"/>
            <w:tcMar>
              <w:top w:type="dxa" w:w="90"/>
              <w:left w:type="dxa" w:w="120"/>
              <w:bottom w:type="dxa" w:w="90"/>
              <w:right w:type="dxa" w:w="120"/>
            </w:tcMar>
            <w:vAlign w:val="center"/>
          </w:tcPr>
          <w:p>
            <w:pPr>
              <w:spacing w:after="0" w:line="258"/>
            </w:pPr>
            <w:r>
              <w:rPr>
                <w:color w:val="1A1A1A"/>
                <w:sz w:val="19"/>
                <w:szCs w:val="19"/>
              </w:rPr>
              <w:t xml:space="preserve">NET-01 at the top: critical, 0.0.0.0/0 on port 22</w:t>
            </w:r>
          </w:p>
        </w:tc>
      </w:tr>
      <w:tr>
        <w:tc>
          <w:tcPr>
            <w:tcW w:type="dxa" w:w="2808"/>
            <w:shd w:fill="FFFFFF" w:val="clear"/>
            <w:tcMar>
              <w:top w:type="dxa" w:w="90"/>
              <w:left w:type="dxa" w:w="120"/>
              <w:bottom w:type="dxa" w:w="90"/>
              <w:right w:type="dxa" w:w="120"/>
            </w:tcMar>
            <w:vAlign w:val="center"/>
          </w:tcPr>
          <w:p>
            <w:pPr>
              <w:spacing w:after="0" w:line="258"/>
            </w:pPr>
            <w:r>
              <w:rPr>
                <w:color w:val="1A1A1A"/>
                <w:sz w:val="19"/>
                <w:szCs w:val="19"/>
              </w:rPr>
              <w:t xml:space="preserve">Evidence Freshness</w:t>
            </w:r>
          </w:p>
        </w:tc>
        <w:tc>
          <w:tcPr>
            <w:tcW w:type="dxa" w:w="6552"/>
            <w:shd w:fill="FFFFFF" w:val="clear"/>
            <w:tcMar>
              <w:top w:type="dxa" w:w="90"/>
              <w:left w:type="dxa" w:w="120"/>
              <w:bottom w:type="dxa" w:w="90"/>
              <w:right w:type="dxa" w:w="120"/>
            </w:tcMar>
            <w:vAlign w:val="center"/>
          </w:tcPr>
          <w:p>
            <w:pPr>
              <w:spacing w:after="0" w:line="258"/>
            </w:pPr>
            <w:r>
              <w:rPr>
                <w:color w:val="1A1A1A"/>
                <w:sz w:val="19"/>
                <w:szCs w:val="19"/>
              </w:rPr>
              <w:t xml:space="preserve">k8s-inspector shown stale against its TTL; erpnext-internal current</w:t>
            </w:r>
          </w:p>
        </w:tc>
      </w:tr>
      <w:tr>
        <w:tc>
          <w:tcPr>
            <w:tcW w:type="dxa" w:w="2808"/>
            <w:shd w:fill="F7F6F3" w:val="clear"/>
            <w:tcMar>
              <w:top w:type="dxa" w:w="90"/>
              <w:left w:type="dxa" w:w="120"/>
              <w:bottom w:type="dxa" w:w="90"/>
              <w:right w:type="dxa" w:w="120"/>
            </w:tcMar>
            <w:vAlign w:val="center"/>
          </w:tcPr>
          <w:p>
            <w:pPr>
              <w:spacing w:after="0" w:line="258"/>
            </w:pPr>
            <w:r>
              <w:rPr>
                <w:color w:val="1A1A1A"/>
                <w:sz w:val="19"/>
                <w:szCs w:val="19"/>
              </w:rPr>
              <w:t xml:space="preserve">Multi Framework Optimisation</w:t>
            </w:r>
          </w:p>
        </w:tc>
        <w:tc>
          <w:tcPr>
            <w:tcW w:type="dxa" w:w="6552"/>
            <w:shd w:fill="F7F6F3" w:val="clear"/>
            <w:tcMar>
              <w:top w:type="dxa" w:w="90"/>
              <w:left w:type="dxa" w:w="120"/>
              <w:bottom w:type="dxa" w:w="90"/>
              <w:right w:type="dxa" w:w="120"/>
            </w:tcMar>
            <w:vAlign w:val="center"/>
          </w:tcPr>
          <w:p>
            <w:pPr>
              <w:spacing w:after="0" w:line="258"/>
            </w:pPr>
            <w:r>
              <w:rPr>
                <w:color w:val="1A1A1A"/>
                <w:sz w:val="19"/>
                <w:szCs w:val="19"/>
              </w:rPr>
              <w:t xml:space="preserve">CRY-01 ranked high — one hour, auto-fixable, reaching several frameworks. Confirm a control reaching six frameworks outranks one reaching a single framework at the same cost</w:t>
            </w:r>
          </w:p>
        </w:tc>
      </w:tr>
    </w:tbl>
    <w:p>
      <w:pPr>
        <w:pStyle w:val="Heading2"/>
        <w:spacing w:after="140" w:before="320"/>
      </w:pPr>
      <w:r>
        <w:rPr>
          <w:b/>
          <w:bCs/>
          <w:color w:val="12314F"/>
          <w:sz w:val="26"/>
          <w:szCs w:val="26"/>
        </w:rPr>
        <w:t xml:space="preserve">9.2  Scheduled jobs</w:t>
      </w:r>
    </w:p>
    <w:p>
      <w:pPr>
        <w:pBdr>
          <w:left w:val="single" w:color="1B6E7D" w:sz="14" w:space="10"/>
        </w:pBdr>
        <w:shd w:fill="F7F6F3" w:val="clear"/>
        <w:spacing w:after="170" w:before="130"/>
        <w:ind w:left="160" w:right="120"/>
      </w:pPr>
      <w:r>
        <w:rPr>
          <w:rFonts w:ascii="Consolas" w:cs="Consolas" w:eastAsia="Consolas" w:hAnsi="Consolas"/>
          <w:color w:val="24303B"/>
          <w:sz w:val="18"/>
          <w:szCs w:val="18"/>
        </w:rPr>
        <w:t xml:space="preserve">bench --site testsite execute neogrc.setup.scheduler.expire_exceptions</w:t>
      </w:r>
      <w:r>
        <w:br/>
      </w:r>
      <w:r>
        <w:rPr>
          <w:rFonts w:ascii="Consolas" w:cs="Consolas" w:eastAsia="Consolas" w:hAnsi="Consolas"/>
          <w:color w:val="24303B"/>
          <w:sz w:val="18"/>
          <w:szCs w:val="18"/>
        </w:rPr>
        <w:t xml:space="preserve">bench --site testsite execute neogrc.setup.scheduler.flag_overdue_reviews</w:t>
      </w:r>
      <w:r>
        <w:br/>
      </w:r>
      <w:r>
        <w:rPr>
          <w:rFonts w:ascii="Consolas" w:cs="Consolas" w:eastAsia="Consolas" w:hAnsi="Consolas"/>
          <w:color w:val="24303B"/>
          <w:sz w:val="18"/>
          <w:szCs w:val="18"/>
        </w:rPr>
        <w:t xml:space="preserve">bench --site testsite execute neogrc.setup.scheduler.snapshot_metrics</w:t>
      </w:r>
      <w:r>
        <w:br/>
      </w:r>
      <w:r>
        <w:rPr>
          <w:rFonts w:ascii="Consolas" w:cs="Consolas" w:eastAsia="Consolas" w:hAnsi="Consolas"/>
          <w:color w:val="24303B"/>
          <w:sz w:val="18"/>
          <w:szCs w:val="18"/>
        </w:rPr>
        <w:t xml:space="preserve">bench --site testsite execute neogrc.setup.scheduler.purge_expired_artifacts</w:t>
      </w:r>
    </w:p>
    <w:p>
      <w:pPr>
        <w:spacing w:after="140" w:line="276"/>
      </w:pPr>
      <w:r>
        <w:rPr>
          <w:color w:val="1A1A1A"/>
          <w:sz w:val="21"/>
          <w:szCs w:val="21"/>
        </w:rPr>
        <w:t xml:space="preserve">Expect DEMO-EXC-002 to move to expired; notifications for DEMO-POL-002, DEMO-RSK-004 and the overdue vendors; a new metric row on top of the twelve weeks the demo seeds; and artifacts behind the submitted assessment surviving the purge.</w:t>
      </w:r>
    </w:p>
    <w:p>
      <w:pPr>
        <w:spacing w:after="140" w:line="276"/>
      </w:pPr>
      <w:r>
        <w:rPr>
          <w:color w:val="1A1A1A"/>
          <w:sz w:val="21"/>
          <w:szCs w:val="21"/>
        </w:rPr>
        <w:t xml:space="preserve">Run ES-ERP-QUERY twice in quick succession. Expect the second to be skipped while the first is in flight — a slow collection must not stack.</w:t>
      </w:r>
    </w:p>
    <w:p>
      <w:pPr>
        <w:pStyle w:val="Heading2"/>
        <w:spacing w:after="140" w:before="320"/>
      </w:pPr>
      <w:r>
        <w:rPr>
          <w:b/>
          <w:bCs/>
          <w:color w:val="12314F"/>
          <w:sz w:val="26"/>
          <w:szCs w:val="26"/>
        </w:rPr>
        <w:t xml:space="preserve">9.3  Residency and redaction</w:t>
      </w:r>
    </w:p>
    <w:p>
      <w:pPr>
        <w:spacing w:after="140" w:line="276"/>
      </w:pPr>
      <w:r>
        <w:rPr>
          <w:color w:val="1A1A1A"/>
          <w:sz w:val="21"/>
          <w:szCs w:val="21"/>
        </w:rPr>
        <w:t xml:space="preserve">Confirm Residency Mode is On-Premise Only. Set AI Endpoint to a hosted provider URL and save: expect refusal. Set it to http://localhost:11434: expect acceptance. This is enforced at validation rather than left to operator discipline.</w:t>
      </w:r>
    </w:p>
    <w:p>
      <w:pPr>
        <w:spacing w:after="140" w:line="276"/>
      </w:pPr>
      <w:r>
        <w:rPr>
          <w:color w:val="1A1A1A"/>
          <w:sz w:val="21"/>
          <w:szCs w:val="21"/>
        </w:rPr>
        <w:t xml:space="preserve">Post a finding whose resource attributes contain a key named password or token, then inspect the stored record rather than the response. Expect the value stripped on write.</w:t>
      </w:r>
    </w:p>
    <w:p>
      <w:pPr>
        <w:pStyle w:val="Heading2"/>
        <w:spacing w:after="140" w:before="320"/>
      </w:pPr>
      <w:r>
        <w:rPr>
          <w:b/>
          <w:bCs/>
          <w:color w:val="12314F"/>
          <w:sz w:val="26"/>
          <w:szCs w:val="26"/>
        </w:rPr>
        <w:t xml:space="preserve">9.4  Role separation</w:t>
      </w:r>
    </w:p>
    <w:tbl>
      <w:tblPr>
        <w:tblW w:type="dxa" w:w="9360"/>
        <w:tblBorders>
          <w:top w:val="single" w:color="C9D0D6" w:sz="4"/>
          <w:left w:val="none"/>
          <w:bottom w:val="single" w:color="C9D0D6" w:sz="4"/>
          <w:right w:val="none"/>
          <w:insideH w:val="single" w:color="DDE2E6" w:sz="2"/>
          <w:insideV w:val="none"/>
        </w:tblBorders>
      </w:tblPr>
      <w:tblGrid>
        <w:gridCol w:w="2434"/>
        <w:gridCol w:w="3744"/>
        <w:gridCol w:w="3182"/>
      </w:tblGrid>
      <w:tr>
        <w:trPr>
          <w:tblHeader/>
        </w:trPr>
        <w:tc>
          <w:tcPr>
            <w:tcW w:type="dxa" w:w="2434"/>
            <w:shd w:fill="12314F" w:val="clear"/>
            <w:tcMar>
              <w:top w:type="dxa" w:w="90"/>
              <w:left w:type="dxa" w:w="120"/>
              <w:bottom w:type="dxa" w:w="90"/>
              <w:right w:type="dxa" w:w="120"/>
            </w:tcMar>
            <w:vAlign w:val="center"/>
          </w:tcPr>
          <w:p>
            <w:pPr>
              <w:spacing w:after="0" w:line="258"/>
            </w:pPr>
            <w:r>
              <w:rPr>
                <w:b/>
                <w:bCs/>
                <w:color w:val="FFFFFF"/>
                <w:sz w:val="18"/>
                <w:szCs w:val="18"/>
              </w:rPr>
              <w:t xml:space="preserve">Role</w:t>
            </w:r>
          </w:p>
        </w:tc>
        <w:tc>
          <w:tcPr>
            <w:tcW w:type="dxa" w:w="3744"/>
            <w:shd w:fill="12314F" w:val="clear"/>
            <w:tcMar>
              <w:top w:type="dxa" w:w="90"/>
              <w:left w:type="dxa" w:w="120"/>
              <w:bottom w:type="dxa" w:w="90"/>
              <w:right w:type="dxa" w:w="120"/>
            </w:tcMar>
            <w:vAlign w:val="center"/>
          </w:tcPr>
          <w:p>
            <w:pPr>
              <w:spacing w:after="0" w:line="258"/>
            </w:pPr>
            <w:r>
              <w:rPr>
                <w:b/>
                <w:bCs/>
                <w:color w:val="FFFFFF"/>
                <w:sz w:val="18"/>
                <w:szCs w:val="18"/>
              </w:rPr>
              <w:t xml:space="preserve">Can</w:t>
            </w:r>
          </w:p>
        </w:tc>
        <w:tc>
          <w:tcPr>
            <w:tcW w:type="dxa" w:w="3182"/>
            <w:shd w:fill="12314F" w:val="clear"/>
            <w:tcMar>
              <w:top w:type="dxa" w:w="90"/>
              <w:left w:type="dxa" w:w="120"/>
              <w:bottom w:type="dxa" w:w="90"/>
              <w:right w:type="dxa" w:w="120"/>
            </w:tcMar>
            <w:vAlign w:val="center"/>
          </w:tcPr>
          <w:p>
            <w:pPr>
              <w:spacing w:after="0" w:line="258"/>
            </w:pPr>
            <w:r>
              <w:rPr>
                <w:b/>
                <w:bCs/>
                <w:color w:val="FFFFFF"/>
                <w:sz w:val="18"/>
                <w:szCs w:val="18"/>
              </w:rPr>
              <w:t xml:space="preserve">Cannot</w:t>
            </w:r>
          </w:p>
        </w:tc>
      </w:tr>
      <w:tr>
        <w:tc>
          <w:tcPr>
            <w:tcW w:type="dxa" w:w="2434"/>
            <w:shd w:fill="FFFFFF" w:val="clear"/>
            <w:tcMar>
              <w:top w:type="dxa" w:w="90"/>
              <w:left w:type="dxa" w:w="120"/>
              <w:bottom w:type="dxa" w:w="90"/>
              <w:right w:type="dxa" w:w="120"/>
            </w:tcMar>
            <w:vAlign w:val="center"/>
          </w:tcPr>
          <w:p>
            <w:pPr>
              <w:spacing w:after="0" w:line="258"/>
            </w:pPr>
            <w:r>
              <w:rPr>
                <w:color w:val="1A1A1A"/>
                <w:sz w:val="19"/>
                <w:szCs w:val="19"/>
              </w:rPr>
              <w:t xml:space="preserve">NeoGRC Auditor (Khalid)</w:t>
            </w:r>
          </w:p>
        </w:tc>
        <w:tc>
          <w:tcPr>
            <w:tcW w:type="dxa" w:w="3744"/>
            <w:shd w:fill="FFFFFF" w:val="clear"/>
            <w:tcMar>
              <w:top w:type="dxa" w:w="90"/>
              <w:left w:type="dxa" w:w="120"/>
              <w:bottom w:type="dxa" w:w="90"/>
              <w:right w:type="dxa" w:w="120"/>
            </w:tcMar>
            <w:vAlign w:val="center"/>
          </w:tcPr>
          <w:p>
            <w:pPr>
              <w:spacing w:after="0" w:line="258"/>
            </w:pPr>
            <w:r>
              <w:rPr>
                <w:color w:val="1A1A1A"/>
                <w:sz w:val="19"/>
                <w:szCs w:val="19"/>
              </w:rPr>
              <w:t xml:space="preserve">Read controls, findings, evidence, artifacts, assessments</w:t>
            </w:r>
          </w:p>
        </w:tc>
        <w:tc>
          <w:tcPr>
            <w:tcW w:type="dxa" w:w="3182"/>
            <w:shd w:fill="FFFFFF" w:val="clear"/>
            <w:tcMar>
              <w:top w:type="dxa" w:w="90"/>
              <w:left w:type="dxa" w:w="120"/>
              <w:bottom w:type="dxa" w:w="90"/>
              <w:right w:type="dxa" w:w="120"/>
            </w:tcMar>
            <w:vAlign w:val="center"/>
          </w:tcPr>
          <w:p>
            <w:pPr>
              <w:spacing w:after="0" w:line="258"/>
            </w:pPr>
            <w:r>
              <w:rPr>
                <w:color w:val="1A1A1A"/>
                <w:sz w:val="19"/>
                <w:szCs w:val="19"/>
              </w:rPr>
              <w:t xml:space="preserve">Create or edit anything; ingest findings</w:t>
            </w:r>
          </w:p>
        </w:tc>
      </w:tr>
      <w:tr>
        <w:tc>
          <w:tcPr>
            <w:tcW w:type="dxa" w:w="2434"/>
            <w:shd w:fill="F7F6F3" w:val="clear"/>
            <w:tcMar>
              <w:top w:type="dxa" w:w="90"/>
              <w:left w:type="dxa" w:w="120"/>
              <w:bottom w:type="dxa" w:w="90"/>
              <w:right w:type="dxa" w:w="120"/>
            </w:tcMar>
            <w:vAlign w:val="center"/>
          </w:tcPr>
          <w:p>
            <w:pPr>
              <w:spacing w:after="0" w:line="258"/>
            </w:pPr>
            <w:r>
              <w:rPr>
                <w:color w:val="1A1A1A"/>
                <w:sz w:val="19"/>
                <w:szCs w:val="19"/>
              </w:rPr>
              <w:t xml:space="preserve">NeoGRC Engineer (Sara)</w:t>
            </w:r>
          </w:p>
        </w:tc>
        <w:tc>
          <w:tcPr>
            <w:tcW w:type="dxa" w:w="3744"/>
            <w:shd w:fill="F7F6F3" w:val="clear"/>
            <w:tcMar>
              <w:top w:type="dxa" w:w="90"/>
              <w:left w:type="dxa" w:w="120"/>
              <w:bottom w:type="dxa" w:w="90"/>
              <w:right w:type="dxa" w:w="120"/>
            </w:tcMar>
            <w:vAlign w:val="center"/>
          </w:tcPr>
          <w:p>
            <w:pPr>
              <w:spacing w:after="0" w:line="258"/>
            </w:pPr>
            <w:r>
              <w:rPr>
                <w:color w:val="1A1A1A"/>
                <w:sz w:val="19"/>
                <w:szCs w:val="19"/>
              </w:rPr>
              <w:t xml:space="preserve">Build connectors and fetchers, run collection and assessments</w:t>
            </w:r>
          </w:p>
        </w:tc>
        <w:tc>
          <w:tcPr>
            <w:tcW w:type="dxa" w:w="3182"/>
            <w:shd w:fill="F7F6F3" w:val="clear"/>
            <w:tcMar>
              <w:top w:type="dxa" w:w="90"/>
              <w:left w:type="dxa" w:w="120"/>
              <w:bottom w:type="dxa" w:w="90"/>
              <w:right w:type="dxa" w:w="120"/>
            </w:tcMar>
            <w:vAlign w:val="center"/>
          </w:tcPr>
          <w:p>
            <w:pPr>
              <w:spacing w:after="0" w:line="258"/>
            </w:pPr>
            <w:r>
              <w:rPr>
                <w:color w:val="1A1A1A"/>
                <w:sz w:val="19"/>
                <w:szCs w:val="19"/>
              </w:rPr>
              <w:t xml:space="preserve">Delete audit records; approve her own exception</w:t>
            </w:r>
          </w:p>
        </w:tc>
      </w:tr>
      <w:tr>
        <w:tc>
          <w:tcPr>
            <w:tcW w:type="dxa" w:w="2434"/>
            <w:shd w:fill="FFFFFF" w:val="clear"/>
            <w:tcMar>
              <w:top w:type="dxa" w:w="90"/>
              <w:left w:type="dxa" w:w="120"/>
              <w:bottom w:type="dxa" w:w="90"/>
              <w:right w:type="dxa" w:w="120"/>
            </w:tcMar>
            <w:vAlign w:val="center"/>
          </w:tcPr>
          <w:p>
            <w:pPr>
              <w:spacing w:after="0" w:line="258"/>
            </w:pPr>
            <w:r>
              <w:rPr>
                <w:color w:val="1A1A1A"/>
                <w:sz w:val="19"/>
                <w:szCs w:val="19"/>
              </w:rPr>
              <w:t xml:space="preserve">NeoGRC Manager (Noor)</w:t>
            </w:r>
          </w:p>
        </w:tc>
        <w:tc>
          <w:tcPr>
            <w:tcW w:type="dxa" w:w="3744"/>
            <w:shd w:fill="FFFFFF" w:val="clear"/>
            <w:tcMar>
              <w:top w:type="dxa" w:w="90"/>
              <w:left w:type="dxa" w:w="120"/>
              <w:bottom w:type="dxa" w:w="90"/>
              <w:right w:type="dxa" w:w="120"/>
            </w:tcMar>
            <w:vAlign w:val="center"/>
          </w:tcPr>
          <w:p>
            <w:pPr>
              <w:spacing w:after="0" w:line="258"/>
            </w:pPr>
            <w:r>
              <w:rPr>
                <w:color w:val="1A1A1A"/>
                <w:sz w:val="19"/>
                <w:szCs w:val="19"/>
              </w:rPr>
              <w:t xml:space="preserve">Everything, including delete and exception approval</w:t>
            </w:r>
          </w:p>
        </w:tc>
        <w:tc>
          <w:tcPr>
            <w:tcW w:type="dxa" w:w="3182"/>
            <w:shd w:fill="FFFFFF" w:val="clear"/>
            <w:tcMar>
              <w:top w:type="dxa" w:w="90"/>
              <w:left w:type="dxa" w:w="120"/>
              <w:bottom w:type="dxa" w:w="90"/>
              <w:right w:type="dxa" w:w="120"/>
            </w:tcMar>
            <w:vAlign w:val="center"/>
          </w:tcPr>
          <w:p>
            <w:pPr>
              <w:spacing w:after="0" w:line="258"/>
            </w:pPr>
            <w:r>
              <w:rPr>
                <w:color w:val="1A1A1A"/>
                <w:sz w:val="19"/>
                <w:szCs w:val="19"/>
              </w:rPr>
              <w:t xml:space="preserve">Approve an exception he raised himself</w:t>
            </w:r>
          </w:p>
        </w:tc>
      </w:tr>
    </w:tbl>
    <w:p>
      <w:pPr>
        <w:spacing w:after="140" w:line="276"/>
      </w:pPr>
      <w:r>
        <w:rPr>
          <w:i/>
          <w:iCs/>
          <w:color w:val="4A5C6A"/>
          <w:sz w:val="21"/>
          <w:szCs w:val="21"/>
        </w:rPr>
        <w:t xml:space="preserve">The demo users ship disabled. Enable one and set a password to test a role, then disable it again.</w:t>
      </w:r>
    </w:p>
    <w:p>
      <w:pPr>
        <w:pStyle w:val="Heading1"/>
        <w:pageBreakBefore/>
        <w:pBdr>
          <w:bottom w:val="single" w:color="1B6E7D" w:sz="10" w:space="8"/>
        </w:pBdr>
        <w:spacing w:after="240" w:before="0"/>
      </w:pPr>
      <w:r>
        <w:rPr>
          <w:b/>
          <w:bCs/>
          <w:color w:val="12314F"/>
          <w:sz w:val="36"/>
          <w:szCs w:val="36"/>
        </w:rPr>
        <w:t xml:space="preserve">10  Coexistence and teardown</w:t>
      </w:r>
    </w:p>
    <w:p>
      <w:pPr>
        <w:pStyle w:val="Heading2"/>
        <w:spacing w:after="140" w:before="320"/>
      </w:pPr>
      <w:r>
        <w:rPr>
          <w:b/>
          <w:bCs/>
          <w:color w:val="12314F"/>
          <w:sz w:val="26"/>
          <w:szCs w:val="26"/>
        </w:rPr>
        <w:t xml:space="preserve">10.1  Installing alongside your other GRC apps</w:t>
      </w:r>
    </w:p>
    <w:p>
      <w:pPr>
        <w:pBdr>
          <w:left w:val="single" w:color="1B6E7D" w:sz="14" w:space="10"/>
        </w:pBdr>
        <w:shd w:fill="F7F6F3" w:val="clear"/>
        <w:spacing w:after="170" w:before="130"/>
        <w:ind w:left="160" w:right="120"/>
      </w:pPr>
      <w:r>
        <w:rPr>
          <w:rFonts w:ascii="Consolas" w:cs="Consolas" w:eastAsia="Consolas" w:hAnsi="Consolas"/>
          <w:color w:val="24303B"/>
          <w:sz w:val="18"/>
          <w:szCs w:val="18"/>
        </w:rPr>
        <w:t xml:space="preserve">bench --site testsite install-app alphax_grc</w:t>
      </w:r>
      <w:r>
        <w:br/>
      </w:r>
      <w:r>
        <w:rPr>
          <w:rFonts w:ascii="Consolas" w:cs="Consolas" w:eastAsia="Consolas" w:hAnsi="Consolas"/>
          <w:color w:val="24303B"/>
          <w:sz w:val="18"/>
          <w:szCs w:val="18"/>
        </w:rPr>
        <w:t xml:space="preserve">bench --site testsite migrate</w:t>
      </w:r>
    </w:p>
    <w:p>
      <w:pPr>
        <w:spacing w:after="140" w:line="276"/>
      </w:pPr>
      <w:r>
        <w:rPr>
          <w:color w:val="1A1A1A"/>
          <w:sz w:val="21"/>
          <w:szCs w:val="21"/>
        </w:rPr>
        <w:t xml:space="preserve">Expect a clean migrate. Every NeoGRC DocType is prefixed NeoGRC, and the roles are NeoGRC Manager, Engineer and Auditor.</w:t>
      </w:r>
    </w:p>
    <w:p>
      <w:pPr>
        <w:spacing w:after="140" w:line="276"/>
      </w:pPr>
      <w:r>
        <w:rPr>
          <w:color w:val="1A1A1A"/>
          <w:sz w:val="21"/>
          <w:szCs w:val="21"/>
        </w:rPr>
        <w:t xml:space="preserve">Before the rename these collided on GRC Control, GRC Framework, GRC Policy, GRC Vendor, GRC Exception, GRC Risk, GRC Manager and GRC Auditor. DocType and Role names are globally unique per site, so installing both apps would have broken migrate or, worse, left one app silently inheriting the other's schema.</w:t>
      </w:r>
    </w:p>
    <w:p>
      <w:pPr>
        <w:pStyle w:val="Heading2"/>
        <w:spacing w:after="140" w:before="320"/>
      </w:pPr>
      <w:r>
        <w:rPr>
          <w:b/>
          <w:bCs/>
          <w:color w:val="12314F"/>
          <w:sz w:val="26"/>
          <w:szCs w:val="26"/>
        </w:rPr>
        <w:t xml:space="preserve">10.2  Teardown</w:t>
      </w:r>
    </w:p>
    <w:p>
      <w:pPr>
        <w:pBdr>
          <w:left w:val="single" w:color="1B6E7D" w:sz="14" w:space="10"/>
        </w:pBdr>
        <w:shd w:fill="F7F6F3" w:val="clear"/>
        <w:spacing w:after="170" w:before="130"/>
        <w:ind w:left="160" w:right="120"/>
      </w:pPr>
      <w:r>
        <w:rPr>
          <w:rFonts w:ascii="Consolas" w:cs="Consolas" w:eastAsia="Consolas" w:hAnsi="Consolas"/>
          <w:color w:val="24303B"/>
          <w:sz w:val="18"/>
          <w:szCs w:val="18"/>
        </w:rPr>
        <w:t xml:space="preserve">bench --site testsite execute neogrc.demo.dataset.purge</w:t>
      </w:r>
      <w:r>
        <w:br/>
      </w:r>
      <w:r>
        <w:rPr>
          <w:rFonts w:ascii="Consolas" w:cs="Consolas" w:eastAsia="Consolas" w:hAnsi="Consolas"/>
          <w:color w:val="24303B"/>
          <w:sz w:val="18"/>
          <w:szCs w:val="18"/>
        </w:rPr>
        <w:t xml:space="preserve"># to remove the demo users as well:</w:t>
      </w:r>
      <w:r>
        <w:br/>
      </w:r>
      <w:r>
        <w:rPr>
          <w:rFonts w:ascii="Consolas" w:cs="Consolas" w:eastAsia="Consolas" w:hAnsi="Consolas"/>
          <w:color w:val="24303B"/>
          <w:sz w:val="18"/>
          <w:szCs w:val="18"/>
        </w:rPr>
        <w:t xml:space="preserve">bench --site testsite execute neogrc.demo.dataset.purge \</w:t>
      </w:r>
      <w:r>
        <w:br/>
      </w:r>
      <w:r>
        <w:rPr>
          <w:rFonts w:ascii="Consolas" w:cs="Consolas" w:eastAsia="Consolas" w:hAnsi="Consolas"/>
          <w:color w:val="24303B"/>
          <w:sz w:val="18"/>
          <w:szCs w:val="18"/>
        </w:rPr>
        <w:t xml:space="preserve">  --kwargs "{'delete_users': 1}"</w:t>
      </w:r>
    </w:p>
    <w:p>
      <w:pPr>
        <w:spacing w:after="140" w:line="276"/>
      </w:pPr>
      <w:r>
        <w:rPr>
          <w:color w:val="1A1A1A"/>
          <w:sz w:val="21"/>
          <w:szCs w:val="21"/>
        </w:rPr>
        <w:t xml:space="preserve">Expect demo records removed and seeded frameworks, controls, crosswalks, connectors and fetchers untouched. Re-check the section 1 counts; they should be identical.</w:t>
      </w:r>
    </w:p>
    <w:p>
      <w:pPr>
        <w:pStyle w:val="Heading1"/>
        <w:pageBreakBefore/>
        <w:pBdr>
          <w:bottom w:val="single" w:color="1B6E7D" w:sz="10" w:space="8"/>
        </w:pBdr>
        <w:spacing w:after="240" w:before="0"/>
      </w:pPr>
      <w:r>
        <w:rPr>
          <w:b/>
          <w:bCs/>
          <w:color w:val="12314F"/>
          <w:sz w:val="36"/>
          <w:szCs w:val="36"/>
        </w:rPr>
        <w:t xml:space="preserve">11  Quick reference — what should fail</w:t>
      </w:r>
    </w:p>
    <w:p>
      <w:pPr>
        <w:spacing w:after="140" w:line="276"/>
      </w:pPr>
      <w:r>
        <w:rPr>
          <w:color w:val="1A1A1A"/>
          <w:sz w:val="21"/>
          <w:szCs w:val="21"/>
        </w:rPr>
        <w:t xml:space="preserve">If you only have ten minutes, test these. Each is a case where a silent pass would be worse than an obvious crash.</w:t>
      </w:r>
    </w:p>
    <w:tbl>
      <w:tblPr>
        <w:tblW w:type="dxa" w:w="9360"/>
        <w:tblBorders>
          <w:top w:val="single" w:color="C9D0D6" w:sz="4"/>
          <w:left w:val="none"/>
          <w:bottom w:val="single" w:color="C9D0D6" w:sz="4"/>
          <w:right w:val="none"/>
          <w:insideH w:val="single" w:color="DDE2E6" w:sz="2"/>
          <w:insideV w:val="none"/>
        </w:tblBorders>
      </w:tblPr>
      <w:tblGrid>
        <w:gridCol w:w="562"/>
        <w:gridCol w:w="3744"/>
        <w:gridCol w:w="4118"/>
        <w:gridCol w:w="936"/>
      </w:tblGrid>
      <w:tr>
        <w:trPr>
          <w:tblHeader/>
        </w:trPr>
        <w:tc>
          <w:tcPr>
            <w:tcW w:type="dxa" w:w="562"/>
            <w:shd w:fill="12314F" w:val="clear"/>
            <w:tcMar>
              <w:top w:type="dxa" w:w="90"/>
              <w:left w:type="dxa" w:w="120"/>
              <w:bottom w:type="dxa" w:w="90"/>
              <w:right w:type="dxa" w:w="120"/>
            </w:tcMar>
            <w:vAlign w:val="center"/>
          </w:tcPr>
          <w:p>
            <w:pPr>
              <w:spacing w:after="0" w:line="258"/>
            </w:pPr>
            <w:r>
              <w:rPr>
                <w:b/>
                <w:bCs/>
                <w:color w:val="FFFFFF"/>
                <w:sz w:val="18"/>
                <w:szCs w:val="18"/>
              </w:rPr>
              <w:t xml:space="preserve">#</w:t>
            </w:r>
          </w:p>
        </w:tc>
        <w:tc>
          <w:tcPr>
            <w:tcW w:type="dxa" w:w="3744"/>
            <w:shd w:fill="12314F" w:val="clear"/>
            <w:tcMar>
              <w:top w:type="dxa" w:w="90"/>
              <w:left w:type="dxa" w:w="120"/>
              <w:bottom w:type="dxa" w:w="90"/>
              <w:right w:type="dxa" w:w="120"/>
            </w:tcMar>
            <w:vAlign w:val="center"/>
          </w:tcPr>
          <w:p>
            <w:pPr>
              <w:spacing w:after="0" w:line="258"/>
            </w:pPr>
            <w:r>
              <w:rPr>
                <w:b/>
                <w:bCs/>
                <w:color w:val="FFFFFF"/>
                <w:sz w:val="18"/>
                <w:szCs w:val="18"/>
              </w:rPr>
              <w:t xml:space="preserve">Case</w:t>
            </w:r>
          </w:p>
        </w:tc>
        <w:tc>
          <w:tcPr>
            <w:tcW w:type="dxa" w:w="4118"/>
            <w:shd w:fill="12314F" w:val="clear"/>
            <w:tcMar>
              <w:top w:type="dxa" w:w="90"/>
              <w:left w:type="dxa" w:w="120"/>
              <w:bottom w:type="dxa" w:w="90"/>
              <w:right w:type="dxa" w:w="120"/>
            </w:tcMar>
            <w:vAlign w:val="center"/>
          </w:tcPr>
          <w:p>
            <w:pPr>
              <w:spacing w:after="0" w:line="258"/>
            </w:pPr>
            <w:r>
              <w:rPr>
                <w:b/>
                <w:bCs/>
                <w:color w:val="FFFFFF"/>
                <w:sz w:val="18"/>
                <w:szCs w:val="18"/>
              </w:rPr>
              <w:t xml:space="preserve">Expected</w:t>
            </w:r>
          </w:p>
        </w:tc>
        <w:tc>
          <w:tcPr>
            <w:tcW w:type="dxa" w:w="936"/>
            <w:shd w:fill="12314F" w:val="clear"/>
            <w:tcMar>
              <w:top w:type="dxa" w:w="90"/>
              <w:left w:type="dxa" w:w="120"/>
              <w:bottom w:type="dxa" w:w="90"/>
              <w:right w:type="dxa" w:w="120"/>
            </w:tcMar>
            <w:vAlign w:val="center"/>
          </w:tcPr>
          <w:p>
            <w:pPr>
              <w:spacing w:after="0" w:line="258"/>
            </w:pPr>
            <w:r>
              <w:rPr>
                <w:b/>
                <w:bCs/>
                <w:color w:val="FFFFFF"/>
                <w:sz w:val="18"/>
                <w:szCs w:val="18"/>
              </w:rPr>
              <w:t xml:space="preserve">§</w:t>
            </w:r>
          </w:p>
        </w:tc>
      </w:tr>
      <w:tr>
        <w:tc>
          <w:tcPr>
            <w:tcW w:type="dxa" w:w="562"/>
            <w:shd w:fill="FFFFFF"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1</w:t>
            </w:r>
          </w:p>
        </w:tc>
        <w:tc>
          <w:tcPr>
            <w:tcW w:type="dxa" w:w="3744"/>
            <w:shd w:fill="FFFFFF" w:val="clear"/>
            <w:tcMar>
              <w:top w:type="dxa" w:w="90"/>
              <w:left w:type="dxa" w:w="120"/>
              <w:bottom w:type="dxa" w:w="90"/>
              <w:right w:type="dxa" w:w="120"/>
            </w:tcMar>
            <w:vAlign w:val="center"/>
          </w:tcPr>
          <w:p>
            <w:pPr>
              <w:spacing w:after="0" w:line="258"/>
            </w:pPr>
            <w:r>
              <w:rPr>
                <w:color w:val="1A1A1A"/>
                <w:sz w:val="19"/>
                <w:szCs w:val="19"/>
              </w:rPr>
              <w:t xml:space="preserve">Invalid batch posted</w:t>
            </w:r>
          </w:p>
        </w:tc>
        <w:tc>
          <w:tcPr>
            <w:tcW w:type="dxa" w:w="4118"/>
            <w:shd w:fill="FFFFFF" w:val="clear"/>
            <w:tcMar>
              <w:top w:type="dxa" w:w="90"/>
              <w:left w:type="dxa" w:w="120"/>
              <w:bottom w:type="dxa" w:w="90"/>
              <w:right w:type="dxa" w:w="120"/>
            </w:tcMar>
            <w:vAlign w:val="center"/>
          </w:tcPr>
          <w:p>
            <w:pPr>
              <w:spacing w:after="0" w:line="258"/>
            </w:pPr>
            <w:r>
              <w:rPr>
                <w:color w:val="1A1A1A"/>
                <w:sz w:val="19"/>
                <w:szCs w:val="19"/>
              </w:rPr>
              <w:t xml:space="preserve">Whole batch rejected, nothing written</w:t>
            </w:r>
          </w:p>
        </w:tc>
        <w:tc>
          <w:tcPr>
            <w:tcW w:type="dxa" w:w="936"/>
            <w:shd w:fill="FFFFFF" w:val="clear"/>
            <w:tcMar>
              <w:top w:type="dxa" w:w="90"/>
              <w:left w:type="dxa" w:w="120"/>
              <w:bottom w:type="dxa" w:w="90"/>
              <w:right w:type="dxa" w:w="120"/>
            </w:tcMar>
            <w:vAlign w:val="center"/>
          </w:tcPr>
          <w:p>
            <w:pPr>
              <w:spacing w:after="0" w:line="258"/>
            </w:pPr>
            <w:r>
              <w:rPr>
                <w:color w:val="1A1A1A"/>
                <w:sz w:val="19"/>
                <w:szCs w:val="19"/>
              </w:rPr>
              <w:t xml:space="preserve">2.3</w:t>
            </w:r>
          </w:p>
        </w:tc>
      </w:tr>
      <w:tr>
        <w:tc>
          <w:tcPr>
            <w:tcW w:type="dxa" w:w="562"/>
            <w:shd w:fill="F7F6F3"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2</w:t>
            </w:r>
          </w:p>
        </w:tc>
        <w:tc>
          <w:tcPr>
            <w:tcW w:type="dxa" w:w="3744"/>
            <w:shd w:fill="F7F6F3" w:val="clear"/>
            <w:tcMar>
              <w:top w:type="dxa" w:w="90"/>
              <w:left w:type="dxa" w:w="120"/>
              <w:bottom w:type="dxa" w:w="90"/>
              <w:right w:type="dxa" w:w="120"/>
            </w:tcMar>
            <w:vAlign w:val="center"/>
          </w:tcPr>
          <w:p>
            <w:pPr>
              <w:spacing w:after="0" w:line="258"/>
            </w:pPr>
            <w:r>
              <w:rPr>
                <w:color w:val="1A1A1A"/>
                <w:sz w:val="19"/>
                <w:szCs w:val="19"/>
              </w:rPr>
              <w:t xml:space="preserve">Fetcher with no validation rules</w:t>
            </w:r>
          </w:p>
        </w:tc>
        <w:tc>
          <w:tcPr>
            <w:tcW w:type="dxa" w:w="4118"/>
            <w:shd w:fill="F7F6F3" w:val="clear"/>
            <w:tcMar>
              <w:top w:type="dxa" w:w="90"/>
              <w:left w:type="dxa" w:w="120"/>
              <w:bottom w:type="dxa" w:w="90"/>
              <w:right w:type="dxa" w:w="120"/>
            </w:tcMar>
            <w:vAlign w:val="center"/>
          </w:tcPr>
          <w:p>
            <w:pPr>
              <w:spacing w:after="0" w:line="258"/>
            </w:pPr>
            <w:r>
              <w:rPr>
                <w:color w:val="1A1A1A"/>
                <w:sz w:val="19"/>
                <w:szCs w:val="19"/>
              </w:rPr>
              <w:t xml:space="preserve">Inconclusive, never pass</w:t>
            </w:r>
          </w:p>
        </w:tc>
        <w:tc>
          <w:tcPr>
            <w:tcW w:type="dxa" w:w="936"/>
            <w:shd w:fill="F7F6F3" w:val="clear"/>
            <w:tcMar>
              <w:top w:type="dxa" w:w="90"/>
              <w:left w:type="dxa" w:w="120"/>
              <w:bottom w:type="dxa" w:w="90"/>
              <w:right w:type="dxa" w:w="120"/>
            </w:tcMar>
            <w:vAlign w:val="center"/>
          </w:tcPr>
          <w:p>
            <w:pPr>
              <w:spacing w:after="0" w:line="258"/>
            </w:pPr>
            <w:r>
              <w:rPr>
                <w:color w:val="1A1A1A"/>
                <w:sz w:val="19"/>
                <w:szCs w:val="19"/>
              </w:rPr>
              <w:t xml:space="preserve">7</w:t>
            </w:r>
          </w:p>
        </w:tc>
      </w:tr>
      <w:tr>
        <w:tc>
          <w:tcPr>
            <w:tcW w:type="dxa" w:w="562"/>
            <w:shd w:fill="FFFFFF"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3</w:t>
            </w:r>
          </w:p>
        </w:tc>
        <w:tc>
          <w:tcPr>
            <w:tcW w:type="dxa" w:w="3744"/>
            <w:shd w:fill="FFFFFF" w:val="clear"/>
            <w:tcMar>
              <w:top w:type="dxa" w:w="90"/>
              <w:left w:type="dxa" w:w="120"/>
              <w:bottom w:type="dxa" w:w="90"/>
              <w:right w:type="dxa" w:w="120"/>
            </w:tcMar>
            <w:vAlign w:val="center"/>
          </w:tcPr>
          <w:p>
            <w:pPr>
              <w:spacing w:after="0" w:line="258"/>
            </w:pPr>
            <w:r>
              <w:rPr>
                <w:color w:val="1A1A1A"/>
                <w:sz w:val="19"/>
                <w:szCs w:val="19"/>
              </w:rPr>
              <w:t xml:space="preserve">Failed collection run</w:t>
            </w:r>
          </w:p>
        </w:tc>
        <w:tc>
          <w:tcPr>
            <w:tcW w:type="dxa" w:w="4118"/>
            <w:shd w:fill="FFFFFF" w:val="clear"/>
            <w:tcMar>
              <w:top w:type="dxa" w:w="90"/>
              <w:left w:type="dxa" w:w="120"/>
              <w:bottom w:type="dxa" w:w="90"/>
              <w:right w:type="dxa" w:w="120"/>
            </w:tcMar>
            <w:vAlign w:val="center"/>
          </w:tcPr>
          <w:p>
            <w:pPr>
              <w:spacing w:after="0" w:line="258"/>
            </w:pPr>
            <w:r>
              <w:rPr>
                <w:color w:val="1A1A1A"/>
                <w:sz w:val="19"/>
                <w:szCs w:val="19"/>
              </w:rPr>
              <w:t xml:space="preserve">No findings emitted</w:t>
            </w:r>
          </w:p>
        </w:tc>
        <w:tc>
          <w:tcPr>
            <w:tcW w:type="dxa" w:w="936"/>
            <w:shd w:fill="FFFFFF" w:val="clear"/>
            <w:tcMar>
              <w:top w:type="dxa" w:w="90"/>
              <w:left w:type="dxa" w:w="120"/>
              <w:bottom w:type="dxa" w:w="90"/>
              <w:right w:type="dxa" w:w="120"/>
            </w:tcMar>
            <w:vAlign w:val="center"/>
          </w:tcPr>
          <w:p>
            <w:pPr>
              <w:spacing w:after="0" w:line="258"/>
            </w:pPr>
            <w:r>
              <w:rPr>
                <w:color w:val="1A1A1A"/>
                <w:sz w:val="19"/>
                <w:szCs w:val="19"/>
              </w:rPr>
              <w:t xml:space="preserve">7</w:t>
            </w:r>
          </w:p>
        </w:tc>
      </w:tr>
      <w:tr>
        <w:tc>
          <w:tcPr>
            <w:tcW w:type="dxa" w:w="562"/>
            <w:shd w:fill="F7F6F3"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4</w:t>
            </w:r>
          </w:p>
        </w:tc>
        <w:tc>
          <w:tcPr>
            <w:tcW w:type="dxa" w:w="3744"/>
            <w:shd w:fill="F7F6F3" w:val="clear"/>
            <w:tcMar>
              <w:top w:type="dxa" w:w="90"/>
              <w:left w:type="dxa" w:w="120"/>
              <w:bottom w:type="dxa" w:w="90"/>
              <w:right w:type="dxa" w:w="120"/>
            </w:tcMar>
            <w:vAlign w:val="center"/>
          </w:tcPr>
          <w:p>
            <w:pPr>
              <w:spacing w:after="0" w:line="258"/>
            </w:pPr>
            <w:r>
              <w:rPr>
                <w:color w:val="1A1A1A"/>
                <w:sz w:val="19"/>
                <w:szCs w:val="19"/>
              </w:rPr>
              <w:t xml:space="preserve">One failing resource among many</w:t>
            </w:r>
          </w:p>
        </w:tc>
        <w:tc>
          <w:tcPr>
            <w:tcW w:type="dxa" w:w="4118"/>
            <w:shd w:fill="F7F6F3" w:val="clear"/>
            <w:tcMar>
              <w:top w:type="dxa" w:w="90"/>
              <w:left w:type="dxa" w:w="120"/>
              <w:bottom w:type="dxa" w:w="90"/>
              <w:right w:type="dxa" w:w="120"/>
            </w:tcMar>
            <w:vAlign w:val="center"/>
          </w:tcPr>
          <w:p>
            <w:pPr>
              <w:spacing w:after="0" w:line="258"/>
            </w:pPr>
            <w:r>
              <w:rPr>
                <w:color w:val="1A1A1A"/>
                <w:sz w:val="19"/>
                <w:szCs w:val="19"/>
              </w:rPr>
              <w:t xml:space="preserve">Control fails</w:t>
            </w:r>
          </w:p>
        </w:tc>
        <w:tc>
          <w:tcPr>
            <w:tcW w:type="dxa" w:w="936"/>
            <w:shd w:fill="F7F6F3" w:val="clear"/>
            <w:tcMar>
              <w:top w:type="dxa" w:w="90"/>
              <w:left w:type="dxa" w:w="120"/>
              <w:bottom w:type="dxa" w:w="90"/>
              <w:right w:type="dxa" w:w="120"/>
            </w:tcMar>
            <w:vAlign w:val="center"/>
          </w:tcPr>
          <w:p>
            <w:pPr>
              <w:spacing w:after="0" w:line="258"/>
            </w:pPr>
            <w:r>
              <w:rPr>
                <w:color w:val="1A1A1A"/>
                <w:sz w:val="19"/>
                <w:szCs w:val="19"/>
              </w:rPr>
              <w:t xml:space="preserve">5.2</w:t>
            </w:r>
          </w:p>
        </w:tc>
      </w:tr>
      <w:tr>
        <w:tc>
          <w:tcPr>
            <w:tcW w:type="dxa" w:w="562"/>
            <w:shd w:fill="FFFFFF"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5</w:t>
            </w:r>
          </w:p>
        </w:tc>
        <w:tc>
          <w:tcPr>
            <w:tcW w:type="dxa" w:w="3744"/>
            <w:shd w:fill="FFFFFF" w:val="clear"/>
            <w:tcMar>
              <w:top w:type="dxa" w:w="90"/>
              <w:left w:type="dxa" w:w="120"/>
              <w:bottom w:type="dxa" w:w="90"/>
              <w:right w:type="dxa" w:w="120"/>
            </w:tcMar>
            <w:vAlign w:val="center"/>
          </w:tcPr>
          <w:p>
            <w:pPr>
              <w:spacing w:after="0" w:line="258"/>
            </w:pPr>
            <w:r>
              <w:rPr>
                <w:color w:val="1A1A1A"/>
                <w:sz w:val="19"/>
                <w:szCs w:val="19"/>
              </w:rPr>
              <w:t xml:space="preserve">Evidence past connector TTL</w:t>
            </w:r>
          </w:p>
        </w:tc>
        <w:tc>
          <w:tcPr>
            <w:tcW w:type="dxa" w:w="4118"/>
            <w:shd w:fill="FFFFFF" w:val="clear"/>
            <w:tcMar>
              <w:top w:type="dxa" w:w="90"/>
              <w:left w:type="dxa" w:w="120"/>
              <w:bottom w:type="dxa" w:w="90"/>
              <w:right w:type="dxa" w:w="120"/>
            </w:tcMar>
            <w:vAlign w:val="center"/>
          </w:tcPr>
          <w:p>
            <w:pPr>
              <w:spacing w:after="0" w:line="258"/>
            </w:pPr>
            <w:r>
              <w:rPr>
                <w:color w:val="1A1A1A"/>
                <w:sz w:val="19"/>
                <w:szCs w:val="19"/>
              </w:rPr>
              <w:t xml:space="preserve">Stale, not pass</w:t>
            </w:r>
          </w:p>
        </w:tc>
        <w:tc>
          <w:tcPr>
            <w:tcW w:type="dxa" w:w="936"/>
            <w:shd w:fill="FFFFFF" w:val="clear"/>
            <w:tcMar>
              <w:top w:type="dxa" w:w="90"/>
              <w:left w:type="dxa" w:w="120"/>
              <w:bottom w:type="dxa" w:w="90"/>
              <w:right w:type="dxa" w:w="120"/>
            </w:tcMar>
            <w:vAlign w:val="center"/>
          </w:tcPr>
          <w:p>
            <w:pPr>
              <w:spacing w:after="0" w:line="258"/>
            </w:pPr>
            <w:r>
              <w:rPr>
                <w:color w:val="1A1A1A"/>
                <w:sz w:val="19"/>
                <w:szCs w:val="19"/>
              </w:rPr>
              <w:t xml:space="preserve">5.3</w:t>
            </w:r>
          </w:p>
        </w:tc>
      </w:tr>
      <w:tr>
        <w:tc>
          <w:tcPr>
            <w:tcW w:type="dxa" w:w="562"/>
            <w:shd w:fill="F7F6F3"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6</w:t>
            </w:r>
          </w:p>
        </w:tc>
        <w:tc>
          <w:tcPr>
            <w:tcW w:type="dxa" w:w="3744"/>
            <w:shd w:fill="F7F6F3" w:val="clear"/>
            <w:tcMar>
              <w:top w:type="dxa" w:w="90"/>
              <w:left w:type="dxa" w:w="120"/>
              <w:bottom w:type="dxa" w:w="90"/>
              <w:right w:type="dxa" w:w="120"/>
            </w:tcMar>
            <w:vAlign w:val="center"/>
          </w:tcPr>
          <w:p>
            <w:pPr>
              <w:spacing w:after="0" w:line="258"/>
            </w:pPr>
            <w:r>
              <w:rPr>
                <w:color w:val="1A1A1A"/>
                <w:sz w:val="19"/>
                <w:szCs w:val="19"/>
              </w:rPr>
              <w:t xml:space="preserve">Requester approves own exception</w:t>
            </w:r>
          </w:p>
        </w:tc>
        <w:tc>
          <w:tcPr>
            <w:tcW w:type="dxa" w:w="4118"/>
            <w:shd w:fill="F7F6F3" w:val="clear"/>
            <w:tcMar>
              <w:top w:type="dxa" w:w="90"/>
              <w:left w:type="dxa" w:w="120"/>
              <w:bottom w:type="dxa" w:w="90"/>
              <w:right w:type="dxa" w:w="120"/>
            </w:tcMar>
            <w:vAlign w:val="center"/>
          </w:tcPr>
          <w:p>
            <w:pPr>
              <w:spacing w:after="0" w:line="258"/>
            </w:pPr>
            <w:r>
              <w:rPr>
                <w:color w:val="1A1A1A"/>
                <w:sz w:val="19"/>
                <w:szCs w:val="19"/>
              </w:rPr>
              <w:t xml:space="preserve">Blocked</w:t>
            </w:r>
          </w:p>
        </w:tc>
        <w:tc>
          <w:tcPr>
            <w:tcW w:type="dxa" w:w="936"/>
            <w:shd w:fill="F7F6F3" w:val="clear"/>
            <w:tcMar>
              <w:top w:type="dxa" w:w="90"/>
              <w:left w:type="dxa" w:w="120"/>
              <w:bottom w:type="dxa" w:w="90"/>
              <w:right w:type="dxa" w:w="120"/>
            </w:tcMar>
            <w:vAlign w:val="center"/>
          </w:tcPr>
          <w:p>
            <w:pPr>
              <w:spacing w:after="0" w:line="258"/>
            </w:pPr>
            <w:r>
              <w:rPr>
                <w:color w:val="1A1A1A"/>
                <w:sz w:val="19"/>
                <w:szCs w:val="19"/>
              </w:rPr>
              <w:t xml:space="preserve">8.2</w:t>
            </w:r>
          </w:p>
        </w:tc>
      </w:tr>
      <w:tr>
        <w:tc>
          <w:tcPr>
            <w:tcW w:type="dxa" w:w="562"/>
            <w:shd w:fill="FFFFFF"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7</w:t>
            </w:r>
          </w:p>
        </w:tc>
        <w:tc>
          <w:tcPr>
            <w:tcW w:type="dxa" w:w="3744"/>
            <w:shd w:fill="FFFFFF" w:val="clear"/>
            <w:tcMar>
              <w:top w:type="dxa" w:w="90"/>
              <w:left w:type="dxa" w:w="120"/>
              <w:bottom w:type="dxa" w:w="90"/>
              <w:right w:type="dxa" w:w="120"/>
            </w:tcMar>
            <w:vAlign w:val="center"/>
          </w:tcPr>
          <w:p>
            <w:pPr>
              <w:spacing w:after="0" w:line="258"/>
            </w:pPr>
            <w:r>
              <w:rPr>
                <w:color w:val="1A1A1A"/>
                <w:sz w:val="19"/>
                <w:szCs w:val="19"/>
              </w:rPr>
              <w:t xml:space="preserve">Signing someone else's acknowledgment</w:t>
            </w:r>
          </w:p>
        </w:tc>
        <w:tc>
          <w:tcPr>
            <w:tcW w:type="dxa" w:w="4118"/>
            <w:shd w:fill="FFFFFF" w:val="clear"/>
            <w:tcMar>
              <w:top w:type="dxa" w:w="90"/>
              <w:left w:type="dxa" w:w="120"/>
              <w:bottom w:type="dxa" w:w="90"/>
              <w:right w:type="dxa" w:w="120"/>
            </w:tcMar>
            <w:vAlign w:val="center"/>
          </w:tcPr>
          <w:p>
            <w:pPr>
              <w:spacing w:after="0" w:line="258"/>
            </w:pPr>
            <w:r>
              <w:rPr>
                <w:color w:val="1A1A1A"/>
                <w:sz w:val="19"/>
                <w:szCs w:val="19"/>
              </w:rPr>
              <w:t xml:space="preserve">Blocked</w:t>
            </w:r>
          </w:p>
        </w:tc>
        <w:tc>
          <w:tcPr>
            <w:tcW w:type="dxa" w:w="936"/>
            <w:shd w:fill="FFFFFF" w:val="clear"/>
            <w:tcMar>
              <w:top w:type="dxa" w:w="90"/>
              <w:left w:type="dxa" w:w="120"/>
              <w:bottom w:type="dxa" w:w="90"/>
              <w:right w:type="dxa" w:w="120"/>
            </w:tcMar>
            <w:vAlign w:val="center"/>
          </w:tcPr>
          <w:p>
            <w:pPr>
              <w:spacing w:after="0" w:line="258"/>
            </w:pPr>
            <w:r>
              <w:rPr>
                <w:color w:val="1A1A1A"/>
                <w:sz w:val="19"/>
                <w:szCs w:val="19"/>
              </w:rPr>
              <w:t xml:space="preserve">8.4</w:t>
            </w:r>
          </w:p>
        </w:tc>
      </w:tr>
      <w:tr>
        <w:tc>
          <w:tcPr>
            <w:tcW w:type="dxa" w:w="562"/>
            <w:shd w:fill="F7F6F3"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8</w:t>
            </w:r>
          </w:p>
        </w:tc>
        <w:tc>
          <w:tcPr>
            <w:tcW w:type="dxa" w:w="3744"/>
            <w:shd w:fill="F7F6F3" w:val="clear"/>
            <w:tcMar>
              <w:top w:type="dxa" w:w="90"/>
              <w:left w:type="dxa" w:w="120"/>
              <w:bottom w:type="dxa" w:w="90"/>
              <w:right w:type="dxa" w:w="120"/>
            </w:tcMar>
            <w:vAlign w:val="center"/>
          </w:tcPr>
          <w:p>
            <w:pPr>
              <w:spacing w:after="0" w:line="258"/>
            </w:pPr>
            <w:r>
              <w:rPr>
                <w:color w:val="1A1A1A"/>
                <w:sz w:val="19"/>
                <w:szCs w:val="19"/>
              </w:rPr>
              <w:t xml:space="preserve">Query filter naming a credential field</w:t>
            </w:r>
          </w:p>
        </w:tc>
        <w:tc>
          <w:tcPr>
            <w:tcW w:type="dxa" w:w="4118"/>
            <w:shd w:fill="F7F6F3" w:val="clear"/>
            <w:tcMar>
              <w:top w:type="dxa" w:w="90"/>
              <w:left w:type="dxa" w:w="120"/>
              <w:bottom w:type="dxa" w:w="90"/>
              <w:right w:type="dxa" w:w="120"/>
            </w:tcMar>
            <w:vAlign w:val="center"/>
          </w:tcPr>
          <w:p>
            <w:pPr>
              <w:spacing w:after="0" w:line="258"/>
            </w:pPr>
            <w:r>
              <w:rPr>
                <w:color w:val="1A1A1A"/>
                <w:sz w:val="19"/>
                <w:szCs w:val="19"/>
              </w:rPr>
              <w:t xml:space="preserve">Refused at save</w:t>
            </w:r>
          </w:p>
        </w:tc>
        <w:tc>
          <w:tcPr>
            <w:tcW w:type="dxa" w:w="936"/>
            <w:shd w:fill="F7F6F3" w:val="clear"/>
            <w:tcMar>
              <w:top w:type="dxa" w:w="90"/>
              <w:left w:type="dxa" w:w="120"/>
              <w:bottom w:type="dxa" w:w="90"/>
              <w:right w:type="dxa" w:w="120"/>
            </w:tcMar>
            <w:vAlign w:val="center"/>
          </w:tcPr>
          <w:p>
            <w:pPr>
              <w:spacing w:after="0" w:line="258"/>
            </w:pPr>
            <w:r>
              <w:rPr>
                <w:color w:val="1A1A1A"/>
                <w:sz w:val="19"/>
                <w:szCs w:val="19"/>
              </w:rPr>
              <w:t xml:space="preserve">6.1</w:t>
            </w:r>
          </w:p>
        </w:tc>
      </w:tr>
      <w:tr>
        <w:tc>
          <w:tcPr>
            <w:tcW w:type="dxa" w:w="562"/>
            <w:shd w:fill="FFFFFF"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9</w:t>
            </w:r>
          </w:p>
        </w:tc>
        <w:tc>
          <w:tcPr>
            <w:tcW w:type="dxa" w:w="3744"/>
            <w:shd w:fill="FFFFFF" w:val="clear"/>
            <w:tcMar>
              <w:top w:type="dxa" w:w="90"/>
              <w:left w:type="dxa" w:w="120"/>
              <w:bottom w:type="dxa" w:w="90"/>
              <w:right w:type="dxa" w:w="120"/>
            </w:tcMar>
            <w:vAlign w:val="center"/>
          </w:tcPr>
          <w:p>
            <w:pPr>
              <w:spacing w:after="0" w:line="258"/>
            </w:pPr>
            <w:r>
              <w:rPr>
                <w:color w:val="1A1A1A"/>
                <w:sz w:val="19"/>
                <w:szCs w:val="19"/>
              </w:rPr>
              <w:t xml:space="preserve">Handler path escaping the script root</w:t>
            </w:r>
          </w:p>
        </w:tc>
        <w:tc>
          <w:tcPr>
            <w:tcW w:type="dxa" w:w="4118"/>
            <w:shd w:fill="FFFFFF" w:val="clear"/>
            <w:tcMar>
              <w:top w:type="dxa" w:w="90"/>
              <w:left w:type="dxa" w:w="120"/>
              <w:bottom w:type="dxa" w:w="90"/>
              <w:right w:type="dxa" w:w="120"/>
            </w:tcMar>
            <w:vAlign w:val="center"/>
          </w:tcPr>
          <w:p>
            <w:pPr>
              <w:spacing w:after="0" w:line="258"/>
            </w:pPr>
            <w:r>
              <w:rPr>
                <w:color w:val="1A1A1A"/>
                <w:sz w:val="19"/>
                <w:szCs w:val="19"/>
              </w:rPr>
              <w:t xml:space="preserve">Refused</w:t>
            </w:r>
          </w:p>
        </w:tc>
        <w:tc>
          <w:tcPr>
            <w:tcW w:type="dxa" w:w="936"/>
            <w:shd w:fill="FFFFFF" w:val="clear"/>
            <w:tcMar>
              <w:top w:type="dxa" w:w="90"/>
              <w:left w:type="dxa" w:w="120"/>
              <w:bottom w:type="dxa" w:w="90"/>
              <w:right w:type="dxa" w:w="120"/>
            </w:tcMar>
            <w:vAlign w:val="center"/>
          </w:tcPr>
          <w:p>
            <w:pPr>
              <w:spacing w:after="0" w:line="258"/>
            </w:pPr>
            <w:r>
              <w:rPr>
                <w:color w:val="1A1A1A"/>
                <w:sz w:val="19"/>
                <w:szCs w:val="19"/>
              </w:rPr>
              <w:t xml:space="preserve">7</w:t>
            </w:r>
          </w:p>
        </w:tc>
      </w:tr>
      <w:tr>
        <w:tc>
          <w:tcPr>
            <w:tcW w:type="dxa" w:w="562"/>
            <w:shd w:fill="F7F6F3"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10</w:t>
            </w:r>
          </w:p>
        </w:tc>
        <w:tc>
          <w:tcPr>
            <w:tcW w:type="dxa" w:w="3744"/>
            <w:shd w:fill="F7F6F3" w:val="clear"/>
            <w:tcMar>
              <w:top w:type="dxa" w:w="90"/>
              <w:left w:type="dxa" w:w="120"/>
              <w:bottom w:type="dxa" w:w="90"/>
              <w:right w:type="dxa" w:w="120"/>
            </w:tcMar>
            <w:vAlign w:val="center"/>
          </w:tcPr>
          <w:p>
            <w:pPr>
              <w:spacing w:after="0" w:line="258"/>
            </w:pPr>
            <w:r>
              <w:rPr>
                <w:color w:val="1A1A1A"/>
                <w:sz w:val="19"/>
                <w:szCs w:val="19"/>
              </w:rPr>
              <w:t xml:space="preserve">Coverage and compliance</w:t>
            </w:r>
          </w:p>
        </w:tc>
        <w:tc>
          <w:tcPr>
            <w:tcW w:type="dxa" w:w="4118"/>
            <w:shd w:fill="F7F6F3" w:val="clear"/>
            <w:tcMar>
              <w:top w:type="dxa" w:w="90"/>
              <w:left w:type="dxa" w:w="120"/>
              <w:bottom w:type="dxa" w:w="90"/>
              <w:right w:type="dxa" w:w="120"/>
            </w:tcMar>
            <w:vAlign w:val="center"/>
          </w:tcPr>
          <w:p>
            <w:pPr>
              <w:spacing w:after="0" w:line="258"/>
            </w:pPr>
            <w:r>
              <w:rPr>
                <w:color w:val="1A1A1A"/>
                <w:sz w:val="19"/>
                <w:szCs w:val="19"/>
              </w:rPr>
              <w:t xml:space="preserve">Reported separately, never blended</w:t>
            </w:r>
          </w:p>
        </w:tc>
        <w:tc>
          <w:tcPr>
            <w:tcW w:type="dxa" w:w="936"/>
            <w:shd w:fill="F7F6F3" w:val="clear"/>
            <w:tcMar>
              <w:top w:type="dxa" w:w="90"/>
              <w:left w:type="dxa" w:w="120"/>
              <w:bottom w:type="dxa" w:w="90"/>
              <w:right w:type="dxa" w:w="120"/>
            </w:tcMar>
            <w:vAlign w:val="center"/>
          </w:tcPr>
          <w:p>
            <w:pPr>
              <w:spacing w:after="0" w:line="258"/>
            </w:pPr>
            <w:r>
              <w:rPr>
                <w:color w:val="1A1A1A"/>
                <w:sz w:val="19"/>
                <w:szCs w:val="19"/>
              </w:rPr>
              <w:t xml:space="preserve">5.1</w:t>
            </w:r>
          </w:p>
        </w:tc>
      </w:tr>
    </w:tbl>
    <w:p>
      <w:pPr>
        <w:spacing w:after="400"/>
      </w:pPr>
    </w:p>
    <w:p>
      <w:pPr>
        <w:pBdr>
          <w:top w:val="single" w:color="1B6E7D" w:sz="8" w:space="10"/>
        </w:pBdr>
        <w:spacing w:before="400"/>
      </w:pPr>
    </w:p>
    <w:p>
      <w:pPr>
        <w:spacing w:after="140" w:line="276"/>
        <w:jc w:val="center"/>
      </w:pPr>
      <w:r>
        <w:rPr>
          <w:color w:val="4A5C6A"/>
          <w:sz w:val="21"/>
          <w:szCs w:val="21"/>
        </w:rPr>
        <w:t xml:space="preserve">Neotec Integrated Solutions · Riyadh, Kingdom of Saudi Arabia · support@neotec.ai</w:t>
      </w:r>
    </w:p>
    <w:p>
      <w:pPr>
        <w:spacing w:after="140" w:line="276"/>
        <w:jc w:val="center"/>
      </w:pPr>
      <w:r>
        <w:rPr>
          <w:color w:val="4A5C6A"/>
          <w:sz w:val="21"/>
          <w:szCs w:val="21"/>
        </w:rPr>
        <w:t xml:space="preserve">NeoGRC v0.2.0 — Test Tour — 12 August 2026</w:t>
      </w:r>
    </w:p>
    <w:sectPr>
      <w:headerReference w:type="default" r:id="rId7"/>
      <w:footerReference w:type="default" r:id="rId8"/>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C6A"/>
        <w:sz w:val="15"/>
        <w:szCs w:val="15"/>
      </w:rPr>
      <w:t xml:space="preserve">Neotec Integrated Solutions</w:t>
    </w:r>
    <w:r>
      <w:rPr>
        <w:sz w:val="15"/>
        <w:szCs w:val="15"/>
      </w:rPr>
      <w:t xml:space="preserve">          </w:t>
    </w:r>
    <w:r>
      <w:rPr>
        <w:color w:val="4A5C6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none"/>
        <w:insideV w:val="none"/>
      </w:tblBorders>
    </w:tblPr>
    <w:tblGrid>
      <w:gridCol w:w="8160"/>
      <w:gridCol w:w="1200"/>
    </w:tblGrid>
    <w:tr>
      <w:tc>
        <w:tcPr>
          <w:tcW w:type="dxa" w:w="8160"/>
          <w:tcMar>
            <w:top w:type="dxa" w:w="0"/>
            <w:left w:type="dxa" w:w="0"/>
            <w:bottom w:type="dxa" w:w="60"/>
            <w:right w:type="dxa" w:w="0"/>
          </w:tcMar>
        </w:tcPr>
        <w:p>
          <w:pPr>
            <w:spacing w:after="0"/>
          </w:pPr>
          <w:r>
            <w:rPr>
              <w:color w:val="4A5C6A"/>
              <w:sz w:val="16"/>
              <w:szCs w:val="16"/>
            </w:rPr>
            <w:t xml:space="preserve">NeoGRC — Test Tour</w:t>
          </w:r>
        </w:p>
      </w:tc>
      <w:tc>
        <w:tcPr>
          <w:tcW w:type="dxa" w:w="1200"/>
          <w:tcMar>
            <w:top w:type="dxa" w:w="0"/>
            <w:left w:type="dxa" w:w="0"/>
            <w:bottom w:type="dxa" w:w="60"/>
            <w:right w:type="dxa" w:w="0"/>
          </w:tcMar>
        </w:tcPr>
        <w:p>
          <w:pPr>
            <w:spacing w:after="0"/>
            <w:jc w:val="right"/>
          </w:pPr>
          <w:r>
            <w:rPr>
              <w:color w:val="4A5C6A"/>
              <w:sz w:val="16"/>
              <w:szCs w:val="16"/>
            </w:rPr>
            <w:t xml:space="preserve">v0.2.0</w:t>
          </w:r>
        </w:p>
      </w:tc>
    </w:tr>
  </w:tbl>
  <w:p>
    <w:pPr>
      <w:pBdr>
        <w:top w:val="single" w:color="C9D0D6" w:sz="4" w:space="2"/>
      </w:pBdr>
      <w:spacing w:after="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lvl w:ilvl="1" w15:tentative="1">
      <w:start w:val="1"/>
      <w:numFmt w:val="bullet"/>
      <w:lvlText w:val="–"/>
      <w:lvlJc w:val="left"/>
      <w:pPr>
        <w:ind w:left="74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NeoGRC — Test Tour</dc:title>
  <dc:creator>Neotec Integrated Solutions</dc:creator>
  <dc:description>Guided test tour for NeoGRC v0.2.0 using the demo dataset</dc:description>
  <cp:lastModifiedBy>Un-named</cp:lastModifiedBy>
  <cp:revision>1</cp:revision>
  <dcterms:created xsi:type="dcterms:W3CDTF">2026-08-12T09:46:47.510Z</dcterms:created>
  <dcterms:modified xsi:type="dcterms:W3CDTF">2026-08-12T09:46:47.521Z</dcterms:modified>
</cp:coreProperties>
</file>

<file path=docProps/custom.xml><?xml version="1.0" encoding="utf-8"?>
<Properties xmlns="http://schemas.openxmlformats.org/officeDocument/2006/custom-properties" xmlns:vt="http://schemas.openxmlformats.org/officeDocument/2006/docPropsVTypes"/>
</file>