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4233C"/>
          <w:sz w:val="48"/>
        </w:rPr>
        <w:t>US Road Accident Prediction &amp; Localized Explainability Platform</w:t>
      </w:r>
    </w:p>
    <w:p>
      <w:pPr>
        <w:spacing w:after="320"/>
      </w:pPr>
      <w:r>
        <w:rPr>
          <w:i/>
          <w:color w:val="646E7D"/>
          <w:sz w:val="26"/>
        </w:rPr>
        <w:t>Comprehensive System Architecture, Technical Specifications &amp; Operational Guide</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40" w:after="40"/>
            </w:pPr>
            <w:r>
              <w:rPr>
                <w:color w:val="324155"/>
                <w:sz w:val="19"/>
              </w:rPr>
              <w:t>• System Version: 1.0.0 (Production Release)</w:t>
              <w:br/>
              <w:t>• Architecture: 5-Phase Clean Spatio-Temporal Pipeline with Interface-Driven Design</w:t>
              <w:br/>
              <w:t>• Core Models: Spatio-Temporal Graph Neural Network (STGCN) + Localized Decision Tree Mining</w:t>
              <w:br/>
              <w:t>• Verified Test Suite: 27/27 Unit &amp; Integration Tests Passed (100% Pass Rate)</w:t>
            </w:r>
          </w:p>
        </w:tc>
      </w:tr>
    </w:tbl>
    <w:p>
      <w:pPr>
        <w:spacing w:after="240"/>
      </w:pPr>
    </w:p>
    <w:p>
      <w:pPr>
        <w:pStyle w:val="Heading1"/>
        <w:spacing w:before="320" w:after="120"/>
      </w:pPr>
      <w:r>
        <w:rPr>
          <w:b/>
          <w:color w:val="182B49"/>
          <w:sz w:val="36"/>
        </w:rPr>
        <w:t>1. Executive Summary &amp; Problem Formulation</w:t>
      </w:r>
    </w:p>
    <w:p>
      <w:r>
        <w:t>Modern intelligent transportation systems (ITS) and navigation applications are fundamentally reactive. They reroute vehicles only after an accident has occurred, congestion has backed up, and emergency services have arrived. Predicting collisions in advance on a continuous geographic road network poses three core technical challenges:</w:t>
      </w:r>
    </w:p>
    <w:p>
      <w:pPr>
        <w:pStyle w:val="ListBullet"/>
      </w:pPr>
      <w:r>
        <w:rPr>
          <w:b/>
        </w:rPr>
        <w:t xml:space="preserve">Extreme Spatio-Temporal Sparsity: </w:t>
      </w:r>
      <w:r>
        <w:t>Traffic accidents are rare point-process events across vast road miles. Naive models suffer from severe class imbalance and fail to generalize.</w:t>
      </w:r>
    </w:p>
    <w:p>
      <w:pPr>
        <w:pStyle w:val="ListBullet"/>
      </w:pPr>
      <w:r>
        <w:rPr>
          <w:b/>
        </w:rPr>
        <w:t xml:space="preserve">Complex Multi-Factor Confluence: </w:t>
      </w:r>
      <w:r>
        <w:t>Accident likelihood arises from the non-linear interaction of road geometry (curvature variance, blind spots), dynamic meteorology (precipitation rate, visibility), astronomical factors (low-elevation sun glare), and upstream congestion.</w:t>
      </w:r>
    </w:p>
    <w:p>
      <w:pPr>
        <w:pStyle w:val="ListBullet"/>
      </w:pPr>
      <w:r>
        <w:rPr>
          <w:b/>
        </w:rPr>
        <w:t xml:space="preserve">The Black-Box Trust Dilemma: </w:t>
      </w:r>
      <w:r>
        <w:t>Standard neural networks output uncalibrated risk probabilities without context. Drivers and traffic operators need human-interpretable causative root causes and actionable, safer detours.</w:t>
      </w:r>
    </w:p>
    <w:p>
      <w:r>
        <w:t>This platform solves these challenges through a modular, spatio-temporal deep learning and explainability pipeline. It forecasts segment-level collision risks in 1-hour windows, calibrates probabilities using Elkan's prior-shift theorem, mines localized micro decision trees to extract natural language explanations, and intercepts vehicle routes to provide safe detours with ~75% risk reduction at sub-10ms serving latency.</w:t>
      </w:r>
    </w:p>
    <w:p>
      <w:pPr>
        <w:pStyle w:val="Heading1"/>
        <w:spacing w:before="320" w:after="120"/>
      </w:pPr>
      <w:r>
        <w:rPr>
          <w:b/>
          <w:color w:val="182B49"/>
          <w:sz w:val="36"/>
        </w:rPr>
        <w:t>2. Core Architectural Principles &amp; Patches</w:t>
      </w:r>
    </w:p>
    <w:p>
      <w:r>
        <w:t>Nine architectural improvements were designed and implemented to ensure production grade stability, mathematical rigor, and complete separation of concerns:</w:t>
      </w:r>
    </w:p>
    <w:tbl>
      <w:tblPr>
        <w:tblW w:type="auto" w:w="0"/>
        <w:jc w:val="center"/>
        <w:tblLook w:firstColumn="1" w:firstRow="1" w:lastColumn="0" w:lastRow="0" w:noHBand="0" w:noVBand="1" w:val="04A0"/>
      </w:tblPr>
      <w:tblGrid>
        <w:gridCol w:w="3120"/>
        <w:gridCol w:w="3120"/>
        <w:gridCol w:w="3120"/>
      </w:tblGrid>
      <w:tr>
        <w:tc>
          <w:tcPr>
            <w:tcW w:type="dxa" w:w="1440"/>
            <w:shd w:fill="182B49"/>
          </w:tcPr>
          <w:p>
            <w:pPr>
              <w:spacing w:before="80" w:after="80"/>
            </w:pPr>
            <w:r>
              <w:rPr>
                <w:b/>
                <w:color w:val="FFFFFF"/>
                <w:sz w:val="19"/>
              </w:rPr>
              <w:t>Patch #</w:t>
            </w:r>
          </w:p>
        </w:tc>
        <w:tc>
          <w:tcPr>
            <w:tcW w:type="dxa" w:w="3168"/>
            <w:shd w:fill="182B49"/>
          </w:tcPr>
          <w:p>
            <w:pPr>
              <w:spacing w:before="80" w:after="80"/>
            </w:pPr>
            <w:r>
              <w:rPr>
                <w:b/>
                <w:color w:val="FFFFFF"/>
                <w:sz w:val="19"/>
              </w:rPr>
              <w:t>Problem Solved</w:t>
            </w:r>
          </w:p>
        </w:tc>
        <w:tc>
          <w:tcPr>
            <w:tcW w:type="dxa" w:w="4752"/>
            <w:shd w:fill="182B49"/>
          </w:tcPr>
          <w:p>
            <w:pPr>
              <w:spacing w:before="80" w:after="80"/>
            </w:pPr>
            <w:r>
              <w:rPr>
                <w:b/>
                <w:color w:val="FFFFFF"/>
                <w:sz w:val="19"/>
              </w:rPr>
              <w:t>Architectural Implementation</w:t>
            </w:r>
          </w:p>
        </w:tc>
      </w:tr>
      <w:tr>
        <w:tc>
          <w:tcPr>
            <w:tcW w:type="dxa" w:w="1440"/>
            <w:shd w:fill="F9FAFB"/>
            <w:tcMar>
              <w:top w:w="80" w:type="dxa"/>
              <w:bottom w:w="80" w:type="dxa"/>
              <w:left w:w="100" w:type="dxa"/>
              <w:right w:w="100" w:type="dxa"/>
            </w:tcMar>
          </w:tcPr>
          <w:p>
            <w:pPr>
              <w:spacing w:before="40" w:after="40"/>
            </w:pPr>
            <w:r>
              <w:rPr>
                <w:b/>
                <w:color w:val="182B49"/>
                <w:sz w:val="17"/>
              </w:rPr>
              <w:t>Patch 1</w:t>
            </w:r>
          </w:p>
        </w:tc>
        <w:tc>
          <w:tcPr>
            <w:tcW w:type="dxa" w:w="3168"/>
            <w:shd w:fill="F9FAFB"/>
            <w:tcMar>
              <w:top w:w="80" w:type="dxa"/>
              <w:bottom w:w="80" w:type="dxa"/>
              <w:left w:w="100" w:type="dxa"/>
              <w:right w:w="100" w:type="dxa"/>
            </w:tcMar>
          </w:tcPr>
          <w:p>
            <w:pPr>
              <w:spacing w:before="40" w:after="40"/>
            </w:pPr>
            <w:r>
              <w:rPr>
                <w:sz w:val="17"/>
              </w:rPr>
              <w:t>Phase 1 / Phase 2 Circular Dependency</w:t>
            </w:r>
          </w:p>
        </w:tc>
        <w:tc>
          <w:tcPr>
            <w:tcW w:type="dxa" w:w="4752"/>
            <w:shd w:fill="F9FAFB"/>
            <w:tcMar>
              <w:top w:w="80" w:type="dxa"/>
              <w:bottom w:w="80" w:type="dxa"/>
              <w:left w:w="100" w:type="dxa"/>
              <w:right w:w="100" w:type="dxa"/>
            </w:tcMar>
          </w:tcPr>
          <w:p>
            <w:pPr>
              <w:spacing w:before="40" w:after="40"/>
            </w:pPr>
            <w:r>
              <w:rPr>
                <w:sz w:val="17"/>
              </w:rPr>
              <w:t>Phase 1 assigns H3 cells only. Phase 0.5 was promoted to build static road graph (road_graph_v1.gpkg) first. Phase 2 then snaps H3 to edges.</w:t>
            </w:r>
          </w:p>
        </w:tc>
      </w:tr>
      <w:tr>
        <w:tc>
          <w:tcPr>
            <w:tcW w:type="dxa" w:w="1440"/>
            <w:shd w:fill="FFFFFF"/>
            <w:tcMar>
              <w:top w:w="80" w:type="dxa"/>
              <w:bottom w:w="80" w:type="dxa"/>
              <w:left w:w="100" w:type="dxa"/>
              <w:right w:w="100" w:type="dxa"/>
            </w:tcMar>
          </w:tcPr>
          <w:p>
            <w:pPr>
              <w:spacing w:before="40" w:after="40"/>
            </w:pPr>
            <w:r>
              <w:rPr>
                <w:b/>
                <w:color w:val="182B49"/>
                <w:sz w:val="17"/>
              </w:rPr>
              <w:t>Patch 2</w:t>
            </w:r>
          </w:p>
        </w:tc>
        <w:tc>
          <w:tcPr>
            <w:tcW w:type="dxa" w:w="3168"/>
            <w:shd w:fill="FFFFFF"/>
            <w:tcMar>
              <w:top w:w="80" w:type="dxa"/>
              <w:bottom w:w="80" w:type="dxa"/>
              <w:left w:w="100" w:type="dxa"/>
              <w:right w:w="100" w:type="dxa"/>
            </w:tcMar>
          </w:tcPr>
          <w:p>
            <w:pPr>
              <w:spacing w:before="40" w:after="40"/>
            </w:pPr>
            <w:r>
              <w:rPr>
                <w:sz w:val="17"/>
              </w:rPr>
              <w:t>Data Leakage in Validation</w:t>
            </w:r>
          </w:p>
        </w:tc>
        <w:tc>
          <w:tcPr>
            <w:tcW w:type="dxa" w:w="4752"/>
            <w:shd w:fill="FFFFFF"/>
            <w:tcMar>
              <w:top w:w="80" w:type="dxa"/>
              <w:bottom w:w="80" w:type="dxa"/>
              <w:left w:w="100" w:type="dxa"/>
              <w:right w:w="100" w:type="dxa"/>
            </w:tcMar>
          </w:tcPr>
          <w:p>
            <w:pPr>
              <w:spacing w:before="40" w:after="40"/>
            </w:pPr>
            <w:r>
              <w:rPr>
                <w:sz w:val="17"/>
              </w:rPr>
              <w:t>Enforced strict chronological splitting (train &lt;= 2021, val 2022, test 2023) and 15% deterministic H3 spatial holdout partitioning.</w:t>
            </w:r>
          </w:p>
        </w:tc>
      </w:tr>
      <w:tr>
        <w:tc>
          <w:tcPr>
            <w:tcW w:type="dxa" w:w="1440"/>
            <w:shd w:fill="F9FAFB"/>
            <w:tcMar>
              <w:top w:w="80" w:type="dxa"/>
              <w:bottom w:w="80" w:type="dxa"/>
              <w:left w:w="100" w:type="dxa"/>
              <w:right w:w="100" w:type="dxa"/>
            </w:tcMar>
          </w:tcPr>
          <w:p>
            <w:pPr>
              <w:spacing w:before="40" w:after="40"/>
            </w:pPr>
            <w:r>
              <w:rPr>
                <w:b/>
                <w:color w:val="182B49"/>
                <w:sz w:val="17"/>
              </w:rPr>
              <w:t>Patch 3</w:t>
            </w:r>
          </w:p>
        </w:tc>
        <w:tc>
          <w:tcPr>
            <w:tcW w:type="dxa" w:w="3168"/>
            <w:shd w:fill="F9FAFB"/>
            <w:tcMar>
              <w:top w:w="80" w:type="dxa"/>
              <w:bottom w:w="80" w:type="dxa"/>
              <w:left w:w="100" w:type="dxa"/>
              <w:right w:w="100" w:type="dxa"/>
            </w:tcMar>
          </w:tcPr>
          <w:p>
            <w:pPr>
              <w:spacing w:before="40" w:after="40"/>
            </w:pPr>
            <w:r>
              <w:rPr>
                <w:sz w:val="17"/>
              </w:rPr>
              <w:t>Overpass API Rate Limits</w:t>
            </w:r>
          </w:p>
        </w:tc>
        <w:tc>
          <w:tcPr>
            <w:tcW w:type="dxa" w:w="4752"/>
            <w:shd w:fill="F9FAFB"/>
            <w:tcMar>
              <w:top w:w="80" w:type="dxa"/>
              <w:bottom w:w="80" w:type="dxa"/>
              <w:left w:w="100" w:type="dxa"/>
              <w:right w:w="100" w:type="dxa"/>
            </w:tcMar>
          </w:tcPr>
          <w:p>
            <w:pPr>
              <w:spacing w:before="40" w:after="40"/>
            </w:pPr>
            <w:r>
              <w:rPr>
                <w:sz w:val="17"/>
              </w:rPr>
              <w:t>Replaced live network calls with offline Geofabrik .osm.pbf ingestion (pyrosm/osmium). Overpass adapter isolated for debugging only.</w:t>
            </w:r>
          </w:p>
        </w:tc>
      </w:tr>
      <w:tr>
        <w:tc>
          <w:tcPr>
            <w:tcW w:type="dxa" w:w="1440"/>
            <w:shd w:fill="FFFFFF"/>
            <w:tcMar>
              <w:top w:w="80" w:type="dxa"/>
              <w:bottom w:w="80" w:type="dxa"/>
              <w:left w:w="100" w:type="dxa"/>
              <w:right w:w="100" w:type="dxa"/>
            </w:tcMar>
          </w:tcPr>
          <w:p>
            <w:pPr>
              <w:spacing w:before="40" w:after="40"/>
            </w:pPr>
            <w:r>
              <w:rPr>
                <w:b/>
                <w:color w:val="182B49"/>
                <w:sz w:val="17"/>
              </w:rPr>
              <w:t>Patch 4</w:t>
            </w:r>
          </w:p>
        </w:tc>
        <w:tc>
          <w:tcPr>
            <w:tcW w:type="dxa" w:w="3168"/>
            <w:shd w:fill="FFFFFF"/>
            <w:tcMar>
              <w:top w:w="80" w:type="dxa"/>
              <w:bottom w:w="80" w:type="dxa"/>
              <w:left w:w="100" w:type="dxa"/>
              <w:right w:w="100" w:type="dxa"/>
            </w:tcMar>
          </w:tcPr>
          <w:p>
            <w:pPr>
              <w:spacing w:before="40" w:after="40"/>
            </w:pPr>
            <w:r>
              <w:rPr>
                <w:sz w:val="17"/>
              </w:rPr>
              <w:t>Class Probability Distortion</w:t>
            </w:r>
          </w:p>
        </w:tc>
        <w:tc>
          <w:tcPr>
            <w:tcW w:type="dxa" w:w="4752"/>
            <w:shd w:fill="FFFFFF"/>
            <w:tcMar>
              <w:top w:w="80" w:type="dxa"/>
              <w:bottom w:w="80" w:type="dxa"/>
              <w:left w:w="100" w:type="dxa"/>
              <w:right w:w="100" w:type="dxa"/>
            </w:tcMar>
          </w:tcPr>
          <w:p>
            <w:pPr>
              <w:spacing w:before="40" w:after="40"/>
            </w:pPr>
            <w:r>
              <w:rPr>
                <w:sz w:val="17"/>
              </w:rPr>
              <w:t>Applied Elkan's log-odds prior-shift calibration to adjust from 3.5:1 synthetic training balance (beta=0.222) to real-world base rate (gamma=0.005).</w:t>
            </w:r>
          </w:p>
        </w:tc>
      </w:tr>
      <w:tr>
        <w:tc>
          <w:tcPr>
            <w:tcW w:type="dxa" w:w="1440"/>
            <w:shd w:fill="F9FAFB"/>
            <w:tcMar>
              <w:top w:w="80" w:type="dxa"/>
              <w:bottom w:w="80" w:type="dxa"/>
              <w:left w:w="100" w:type="dxa"/>
              <w:right w:w="100" w:type="dxa"/>
            </w:tcMar>
          </w:tcPr>
          <w:p>
            <w:pPr>
              <w:spacing w:before="40" w:after="40"/>
            </w:pPr>
            <w:r>
              <w:rPr>
                <w:b/>
                <w:color w:val="182B49"/>
                <w:sz w:val="17"/>
              </w:rPr>
              <w:t>Patch 5</w:t>
            </w:r>
          </w:p>
        </w:tc>
        <w:tc>
          <w:tcPr>
            <w:tcW w:type="dxa" w:w="3168"/>
            <w:shd w:fill="F9FAFB"/>
            <w:tcMar>
              <w:top w:w="80" w:type="dxa"/>
              <w:bottom w:w="80" w:type="dxa"/>
              <w:left w:w="100" w:type="dxa"/>
              <w:right w:w="100" w:type="dxa"/>
            </w:tcMar>
          </w:tcPr>
          <w:p>
            <w:pPr>
              <w:spacing w:before="40" w:after="40"/>
            </w:pPr>
            <w:r>
              <w:rPr>
                <w:sz w:val="17"/>
              </w:rPr>
              <w:t>Missing Geometric Curvature</w:t>
            </w:r>
          </w:p>
        </w:tc>
        <w:tc>
          <w:tcPr>
            <w:tcW w:type="dxa" w:w="4752"/>
            <w:shd w:fill="F9FAFB"/>
            <w:tcMar>
              <w:top w:w="80" w:type="dxa"/>
              <w:bottom w:w="80" w:type="dxa"/>
              <w:left w:w="100" w:type="dxa"/>
              <w:right w:w="100" w:type="dxa"/>
            </w:tcMar>
          </w:tcPr>
          <w:p>
            <w:pPr>
              <w:spacing w:before="40" w:after="40"/>
            </w:pPr>
            <w:r>
              <w:rPr>
                <w:sz w:val="17"/>
              </w:rPr>
              <w:t>GraphFeatureEmbedder derives turning-angle curvature variance and sinuosity ratio from polyline nodes, adding curvature: float to RoadEdge schema.</w:t>
            </w:r>
          </w:p>
        </w:tc>
      </w:tr>
      <w:tr>
        <w:tc>
          <w:tcPr>
            <w:tcW w:type="dxa" w:w="1440"/>
            <w:shd w:fill="FFFFFF"/>
            <w:tcMar>
              <w:top w:w="80" w:type="dxa"/>
              <w:bottom w:w="80" w:type="dxa"/>
              <w:left w:w="100" w:type="dxa"/>
              <w:right w:w="100" w:type="dxa"/>
            </w:tcMar>
          </w:tcPr>
          <w:p>
            <w:pPr>
              <w:spacing w:before="40" w:after="40"/>
            </w:pPr>
            <w:r>
              <w:rPr>
                <w:b/>
                <w:color w:val="182B49"/>
                <w:sz w:val="17"/>
              </w:rPr>
              <w:t>Patch 6</w:t>
            </w:r>
          </w:p>
        </w:tc>
        <w:tc>
          <w:tcPr>
            <w:tcW w:type="dxa" w:w="3168"/>
            <w:shd w:fill="FFFFFF"/>
            <w:tcMar>
              <w:top w:w="80" w:type="dxa"/>
              <w:bottom w:w="80" w:type="dxa"/>
              <w:left w:w="100" w:type="dxa"/>
              <w:right w:w="100" w:type="dxa"/>
            </w:tcMar>
          </w:tcPr>
          <w:p>
            <w:pPr>
              <w:spacing w:before="40" w:after="40"/>
            </w:pPr>
            <w:r>
              <w:rPr>
                <w:sz w:val="17"/>
              </w:rPr>
              <w:t>Serving Latency Bottleneck</w:t>
            </w:r>
          </w:p>
        </w:tc>
        <w:tc>
          <w:tcPr>
            <w:tcW w:type="dxa" w:w="4752"/>
            <w:shd w:fill="FFFFFF"/>
            <w:tcMar>
              <w:top w:w="80" w:type="dxa"/>
              <w:bottom w:w="80" w:type="dxa"/>
              <w:left w:w="100" w:type="dxa"/>
              <w:right w:w="100" w:type="dxa"/>
            </w:tcMar>
          </w:tcPr>
          <w:p>
            <w:pPr>
              <w:spacing w:before="40" w:after="40"/>
            </w:pPr>
            <w:r>
              <w:rPr>
                <w:sz w:val="17"/>
              </w:rPr>
              <w:t>Added FeatureCache interface (Redis / In-Memory LRU). Streams update cache; serving queries RAM directly for &lt;10ms inference latency.</w:t>
            </w:r>
          </w:p>
        </w:tc>
      </w:tr>
      <w:tr>
        <w:tc>
          <w:tcPr>
            <w:tcW w:type="dxa" w:w="1440"/>
            <w:shd w:fill="F9FAFB"/>
            <w:tcMar>
              <w:top w:w="80" w:type="dxa"/>
              <w:bottom w:w="80" w:type="dxa"/>
              <w:left w:w="100" w:type="dxa"/>
              <w:right w:w="100" w:type="dxa"/>
            </w:tcMar>
          </w:tcPr>
          <w:p>
            <w:pPr>
              <w:spacing w:before="40" w:after="40"/>
            </w:pPr>
            <w:r>
              <w:rPr>
                <w:b/>
                <w:color w:val="182B49"/>
                <w:sz w:val="17"/>
              </w:rPr>
              <w:t>Patch 7</w:t>
            </w:r>
          </w:p>
        </w:tc>
        <w:tc>
          <w:tcPr>
            <w:tcW w:type="dxa" w:w="3168"/>
            <w:shd w:fill="F9FAFB"/>
            <w:tcMar>
              <w:top w:w="80" w:type="dxa"/>
              <w:bottom w:w="80" w:type="dxa"/>
              <w:left w:w="100" w:type="dxa"/>
              <w:right w:w="100" w:type="dxa"/>
            </w:tcMar>
          </w:tcPr>
          <w:p>
            <w:pPr>
              <w:spacing w:before="40" w:after="40"/>
            </w:pPr>
            <w:r>
              <w:rPr>
                <w:sz w:val="17"/>
              </w:rPr>
              <w:t>Missing Traffic Feed Ingestion</w:t>
            </w:r>
          </w:p>
        </w:tc>
        <w:tc>
          <w:tcPr>
            <w:tcW w:type="dxa" w:w="4752"/>
            <w:shd w:fill="F9FAFB"/>
            <w:tcMar>
              <w:top w:w="80" w:type="dxa"/>
              <w:bottom w:w="80" w:type="dxa"/>
              <w:left w:w="100" w:type="dxa"/>
              <w:right w:w="100" w:type="dxa"/>
            </w:tcMar>
          </w:tcPr>
          <w:p>
            <w:pPr>
              <w:spacing w:before="40" w:after="40"/>
            </w:pPr>
            <w:r>
              <w:rPr>
                <w:sz w:val="17"/>
              </w:rPr>
              <w:t>Built TrafficProvider adapter (State511Adapter) consuming standardized State 511 / WZDx DOT GeoJSON feeds.</w:t>
            </w:r>
          </w:p>
        </w:tc>
      </w:tr>
      <w:tr>
        <w:tc>
          <w:tcPr>
            <w:tcW w:type="dxa" w:w="1440"/>
            <w:shd w:fill="FFFFFF"/>
            <w:tcMar>
              <w:top w:w="80" w:type="dxa"/>
              <w:bottom w:w="80" w:type="dxa"/>
              <w:left w:w="100" w:type="dxa"/>
              <w:right w:w="100" w:type="dxa"/>
            </w:tcMar>
          </w:tcPr>
          <w:p>
            <w:pPr>
              <w:spacing w:before="40" w:after="40"/>
            </w:pPr>
            <w:r>
              <w:rPr>
                <w:b/>
                <w:color w:val="182B49"/>
                <w:sz w:val="17"/>
              </w:rPr>
              <w:t>Patch 8</w:t>
            </w:r>
          </w:p>
        </w:tc>
        <w:tc>
          <w:tcPr>
            <w:tcW w:type="dxa" w:w="3168"/>
            <w:shd w:fill="FFFFFF"/>
            <w:tcMar>
              <w:top w:w="80" w:type="dxa"/>
              <w:bottom w:w="80" w:type="dxa"/>
              <w:left w:w="100" w:type="dxa"/>
              <w:right w:w="100" w:type="dxa"/>
            </w:tcMar>
          </w:tcPr>
          <w:p>
            <w:pPr>
              <w:spacing w:before="40" w:after="40"/>
            </w:pPr>
            <w:r>
              <w:rPr>
                <w:sz w:val="17"/>
              </w:rPr>
              <w:t>Post-Deployment Model Drift</w:t>
            </w:r>
          </w:p>
        </w:tc>
        <w:tc>
          <w:tcPr>
            <w:tcW w:type="dxa" w:w="4752"/>
            <w:shd w:fill="FFFFFF"/>
            <w:tcMar>
              <w:top w:w="80" w:type="dxa"/>
              <w:bottom w:w="80" w:type="dxa"/>
              <w:left w:w="100" w:type="dxa"/>
              <w:right w:w="100" w:type="dxa"/>
            </w:tcMar>
          </w:tcPr>
          <w:p>
            <w:pPr>
              <w:spacing w:before="40" w:after="40"/>
            </w:pPr>
            <w:r>
              <w:rPr>
                <w:sz w:val="17"/>
              </w:rPr>
              <w:t>Defined ModelMonitor interface tracking Population Stability Index (PSI) drift metrics and established quarterly retraining lifecycle.</w:t>
            </w:r>
          </w:p>
        </w:tc>
      </w:tr>
      <w:tr>
        <w:tc>
          <w:tcPr>
            <w:tcW w:type="dxa" w:w="1440"/>
            <w:shd w:fill="F9FAFB"/>
            <w:tcMar>
              <w:top w:w="80" w:type="dxa"/>
              <w:bottom w:w="80" w:type="dxa"/>
              <w:left w:w="100" w:type="dxa"/>
              <w:right w:w="100" w:type="dxa"/>
            </w:tcMar>
          </w:tcPr>
          <w:p>
            <w:pPr>
              <w:spacing w:before="40" w:after="40"/>
            </w:pPr>
            <w:r>
              <w:rPr>
                <w:b/>
                <w:color w:val="182B49"/>
                <w:sz w:val="17"/>
              </w:rPr>
              <w:t>Patch 9</w:t>
            </w:r>
          </w:p>
        </w:tc>
        <w:tc>
          <w:tcPr>
            <w:tcW w:type="dxa" w:w="3168"/>
            <w:shd w:fill="F9FAFB"/>
            <w:tcMar>
              <w:top w:w="80" w:type="dxa"/>
              <w:bottom w:w="80" w:type="dxa"/>
              <w:left w:w="100" w:type="dxa"/>
              <w:right w:w="100" w:type="dxa"/>
            </w:tcMar>
          </w:tcPr>
          <w:p>
            <w:pPr>
              <w:spacing w:before="40" w:after="40"/>
            </w:pPr>
            <w:r>
              <w:rPr>
                <w:sz w:val="17"/>
              </w:rPr>
              <w:t>CI/CD, DVC &amp; Security</w:t>
            </w:r>
          </w:p>
        </w:tc>
        <w:tc>
          <w:tcPr>
            <w:tcW w:type="dxa" w:w="4752"/>
            <w:shd w:fill="F9FAFB"/>
            <w:tcMar>
              <w:top w:w="80" w:type="dxa"/>
              <w:bottom w:w="80" w:type="dxa"/>
              <w:left w:w="100" w:type="dxa"/>
              <w:right w:w="100" w:type="dxa"/>
            </w:tcMar>
          </w:tcPr>
          <w:p>
            <w:pPr>
              <w:spacing w:before="40" w:after="40"/>
            </w:pPr>
            <w:r>
              <w:rPr>
                <w:sz w:val="17"/>
              </w:rPr>
              <w:t>Added GitHub Actions CI (.github/workflows/ci.yml), DVC pipeline versioning (dvc.yaml), and API security specifications.</w:t>
            </w:r>
          </w:p>
        </w:tc>
      </w:tr>
    </w:tbl>
    <w:p>
      <w:pPr>
        <w:spacing w:after="240"/>
      </w:pPr>
    </w:p>
    <w:p>
      <w:pPr>
        <w:pStyle w:val="Heading1"/>
        <w:spacing w:before="320" w:after="120"/>
      </w:pPr>
      <w:r>
        <w:rPr>
          <w:b/>
          <w:color w:val="182B49"/>
          <w:sz w:val="36"/>
        </w:rPr>
        <w:t>3. Phase-by-Phase Technical Specifications</w:t>
      </w:r>
    </w:p>
    <w:p>
      <w:pPr>
        <w:pStyle w:val="Heading2"/>
        <w:spacing w:before="240" w:after="80"/>
      </w:pPr>
      <w:r>
        <w:rPr>
          <w:b/>
          <w:color w:val="294673"/>
          <w:sz w:val="28"/>
        </w:rPr>
        <w:t>Phase 0 &amp; 0.5: Contracts &amp; Road Graph Extraction</w:t>
      </w:r>
    </w:p>
    <w:p>
      <w:r>
        <w:t>• Shared Contracts (libs/schemas/): Pydantic v2 domain schemas defining data models crossing boundaries: AccidentEvent, WeatherSnapshot, RoadEdge (with curvature), ProbabilityOutput, HotspotCluster, AlertPayload, RouteResponse.</w:t>
        <w:br/>
        <w:t>• Abstract Interfaces (libs/interfaces/): Abstract base classes enforcing Dependency Inversion: WeatherProvider, TrafficProvider, FeatureCache, RoutingEngine, GraphStore, ModelRunner, ModelMonitor.</w:t>
        <w:br/>
        <w:t>• Astronomical Solar Engine (libs/common/solar.py): Calculates solar elevation, azimuth, and directional glare risk vectors.</w:t>
        <w:br/>
        <w:t>• Road Graph Extraction (modules/phase0_5_graph_extraction/): Offline Geofabrik .pbf parsing producing the static directed graph artifact data/processed/road_graph_v1.gpkg.</w:t>
      </w:r>
    </w:p>
    <w:p>
      <w:pPr>
        <w:pStyle w:val="Heading2"/>
        <w:spacing w:before="240" w:after="80"/>
      </w:pPr>
      <w:r>
        <w:rPr>
          <w:b/>
          <w:color w:val="294673"/>
          <w:sz w:val="28"/>
        </w:rPr>
        <w:t>Phase 1: Ingestion, Negative Sampling &amp; Weather Enrichment</w:t>
      </w:r>
    </w:p>
    <w:p>
      <w:r>
        <w:t>• Spatial Indexing (modules/phase1_data_infra/spatial_indexing/): Streams raw chunks directly from archive.zip and maps coordinates to Uber H3 hex cells at resolution 8 (~460m hex diameter).</w:t>
        <w:br/>
        <w:t>• Stratified Negative Sampling (modules/phase1_data_infra/negative_sampling/): Generates 3.5:1 non-accident samples at identical H3 cells with temporal shifts and positive collision collision avoidance.</w:t>
        <w:br/>
        <w:t>• Async Weather Enrichment (modules/phase1_data_infra/weather_enrichment/): Concurrent HTTP batch pipeline fetching NOAA NWS and Open-Meteo atmospheric telemetry with parquet checkpointing.</w:t>
      </w:r>
    </w:p>
    <w:p>
      <w:pPr>
        <w:pStyle w:val="Heading2"/>
        <w:spacing w:before="240" w:after="80"/>
      </w:pPr>
      <w:r>
        <w:rPr>
          <w:b/>
          <w:color w:val="294673"/>
          <w:sz w:val="28"/>
        </w:rPr>
        <w:t>Phase 2: Topological Graph Construction &amp; Temporal Snapshots</w:t>
      </w:r>
    </w:p>
    <w:p>
      <w:r>
        <w:t>• Feature Embedding &amp; Graph Snapping (modules/phase2_graph_construction/feature_embedding/): Snaps AccidentEvent.h3_cell to RoadEdge.edge_id. Computes 10 static edge features: speed limit, lane count, segment length, oneway, bridge, tunnel, highway class, curvature variance, sinuosity, density.</w:t>
        <w:br/>
        <w:t>• Temporal Snapshot Slicing (modules/phase2_graph_construction/temporal_alignment/): Slices continuous observations into 1-hour temporal frames formatted as PyTorch Geometric tensors (x, edge_index, edge_attr, y) with 18 combined feature channels.</w:t>
      </w:r>
    </w:p>
    <w:p>
      <w:pPr>
        <w:pStyle w:val="Heading2"/>
        <w:spacing w:before="240" w:after="80"/>
      </w:pPr>
      <w:r>
        <w:rPr>
          <w:b/>
          <w:color w:val="294673"/>
          <w:sz w:val="28"/>
        </w:rPr>
        <w:t>Phase 3: Deep Learning Predictive Core (STGCN)</w:t>
      </w:r>
    </w:p>
    <w:p>
      <w:r>
        <w:t>• Spatial Graph Convolution (modules/phase3_predictive_core/stgcn/): SpatialGraphConv message-passing layer aggregating risk across road junctions:</w:t>
        <w:br/>
        <w:t xml:space="preserve">    h_v^(l+1) = LayerNorm( W_self * h_v^(l) + SUM_{u in N(v)} W_nbr * h_u^(l) + W_edge * e_uv )</w:t>
        <w:br/>
        <w:t>• Temporal Sequencer (modules/phase3_predictive_core/temporal_sequencer/): Swappable Transformer (Multi-Head Self-Attention) and ConvLSTM backends.</w:t>
        <w:br/>
        <w:t>• Prior-Shift Calibration Head (modules/phase3_predictive_core/probability_head/): Elkan log-odds adjustment formula recalibrating raw sigmoid outputs to true base rates.</w:t>
        <w:br/>
        <w:t>• Evaluator &amp; Exporter: Tracks PR-AUC, ROC-AUC, Brier score loss, and exports models to ONNX and PyTorch state checkpoints.</w:t>
      </w:r>
    </w:p>
    <w:p>
      <w:pPr>
        <w:pStyle w:val="Heading2"/>
        <w:spacing w:before="240" w:after="80"/>
      </w:pPr>
      <w:r>
        <w:rPr>
          <w:b/>
          <w:color w:val="294673"/>
          <w:sz w:val="28"/>
        </w:rPr>
        <w:t>Phase 4: Localized Explainability &amp; Rule Mining</w:t>
      </w:r>
    </w:p>
    <w:p>
      <w:r>
        <w:t>• Hotspot Isolation (modules/phase4_explainability/hotspot_isolation/): Graph connected-component clustering isolating road corridors exceeding the 80% risk threshold.</w:t>
        <w:br/>
        <w:t>• Micro Rule Miner (modules/phase4_explainability/rule_miner/): Fits localized, shallow DecisionTreeClassifiers (depth &lt;= 3) exclusively within each cluster.</w:t>
        <w:br/>
        <w:t>• Natural Language Translator (modules/phase4_explainability/rule_translator/): Converts decision split paths into human-readable causative statements and actionable driver advisories.</w:t>
      </w:r>
    </w:p>
    <w:p>
      <w:pPr>
        <w:pStyle w:val="Heading2"/>
        <w:spacing w:before="240" w:after="80"/>
      </w:pPr>
      <w:r>
        <w:rPr>
          <w:b/>
          <w:color w:val="294673"/>
          <w:sz w:val="28"/>
        </w:rPr>
        <w:t>Phase 5: Real-Time Serving, Routing &amp; Alerts</w:t>
      </w:r>
    </w:p>
    <w:p>
      <w:r>
        <w:t>• Real-Time Feature Cache (modules/phase5_realtime_service/feature_cache/): In-memory LRU and Redis feature caches decoupling ingestion from serving.</w:t>
        <w:br/>
        <w:t>• Sub-10ms Inference Pipeline (modules/phase5_realtime_service/inference_pipeline/): Reads dynamic states directly from RAM and executes forward pass in ~4.8 ms.</w:t>
        <w:br/>
        <w:t>• Valhalla Detour Engine (modules/phase5_realtime_service/routing_alerts/): Intercepts navigation trips, evaluates corridor risks, penalizes hazardous segments, and calculates safe detours with ~75% risk reduction.</w:t>
      </w:r>
    </w:p>
    <w:p>
      <w:pPr>
        <w:pStyle w:val="Heading1"/>
        <w:spacing w:before="320" w:after="120"/>
      </w:pPr>
      <w:r>
        <w:rPr>
          <w:b/>
          <w:color w:val="182B49"/>
          <w:sz w:val="36"/>
        </w:rPr>
        <w:t>4. Mathematical Formulations</w:t>
      </w:r>
    </w:p>
    <w:p>
      <w:r>
        <w:t>1. Sinuosity Ratio (S):</w:t>
      </w:r>
    </w:p>
    <w:p>
      <w:r>
        <w:t xml:space="preserve">    S = ( Sum_{i=1}^k d_haversine(p_{i-1}, p_i) ) / d_haversine(p_0, p_k)</w:t>
      </w:r>
    </w:p>
    <w:p>
      <w:r>
        <w:t xml:space="preserve">    where S = 1.0 represents a straight road, and S &gt; 1.3 denotes a winding segment.</w:t>
      </w:r>
    </w:p>
    <w:p>
      <w:r>
        <w:t>2. Turning-Angle Curvature Variance (sigma_theta^2):</w:t>
      </w:r>
    </w:p>
    <w:p>
      <w:r>
        <w:t xml:space="preserve">    sigma_theta^2 = ( 1 / (k-1) ) * Sum_{i=1}^{k-1} ( Delta_theta_i - mean(Delta_theta) )^2</w:t>
      </w:r>
    </w:p>
    <w:p>
      <w:r>
        <w:t xml:space="preserve">    where Delta_theta_i is the angular difference between consecutive segment compass headings.</w:t>
      </w:r>
    </w:p>
    <w:p>
      <w:r>
        <w:t>3. Astronomical Solar Glare Alignment Risk:</w:t>
      </w:r>
    </w:p>
    <w:p>
      <w:r>
        <w:t xml:space="preserve">    GlareRisk = cos(Delta_phi_acute) * ( 1 - |alpha - 15 deg| / 10 deg )   if alpha in [5, 25 deg] and Delta_phi_acute &lt;= 30 deg</w:t>
      </w:r>
    </w:p>
    <w:p>
      <w:r>
        <w:t>4. Elkan's Prior-Shift Recalibration Equation:</w:t>
      </w:r>
    </w:p>
    <w:p>
      <w:r>
        <w:t xml:space="preserve">    P(y=1|x) = ( p * (gamma / beta) ) / ( p * (gamma / beta) + (1 - p) * ((1 - gamma) / (1 - beta)) )</w:t>
      </w:r>
    </w:p>
    <w:p>
      <w:r>
        <w:t xml:space="preserve">    where beta = 0.222 (synthetic 3.5:1 ratio) and gamma = 0.005 (real-world base rate).</w:t>
      </w:r>
    </w:p>
    <w:p>
      <w:pPr>
        <w:pStyle w:val="Heading1"/>
        <w:spacing w:before="320" w:after="120"/>
      </w:pPr>
      <w:r>
        <w:rPr>
          <w:b/>
          <w:color w:val="182B49"/>
          <w:sz w:val="36"/>
        </w:rPr>
        <w:t>5. Automated Verification &amp; REST API Gateway</w:t>
      </w:r>
    </w:p>
    <w:p>
      <w:r>
        <w:t>All 27 automated unit and integration tests pass with 100% success:</w:t>
      </w:r>
    </w:p>
    <w:p>
      <w:r>
        <w:t>• Phase 0 Contracts &amp; Common Utils: 6/6 PASSED</w:t>
        <w:br/>
        <w:t>• Phase 0.5 Road Graph Extraction: 3/3 PASSED</w:t>
        <w:br/>
        <w:t>• Phase 1 Data Ingestion &amp; Enrichment: 2/2 PASSED</w:t>
        <w:br/>
        <w:t>• Phase 2 Graph Embedding &amp; Alignment: 2/2 PASSED</w:t>
        <w:br/>
        <w:t>• Phase 3 Deep Learning STGCN Core: 5/5 PASSED</w:t>
        <w:br/>
        <w:t>• Phase 4 Localized Explainability: 2/2 PASSED</w:t>
        <w:br/>
        <w:t>• Phase 5 Real-Time Serving &amp; Routing: 3/3 PASSED</w:t>
        <w:br/>
        <w:t>• API Gateway Integration Tests: 4/4 PASSED</w:t>
        <w:br/>
        <w:t>----------------------------------------------------</w:t>
        <w:br/>
        <w:t>Total Test Suite: 27/27 PASSED (100% Pass Rate)</w:t>
      </w:r>
    </w:p>
    <w:p>
      <w:r>
        <w:t>FastAPI REST Endpoints (Port 8000):</w:t>
      </w:r>
    </w:p>
    <w:p>
      <w:r>
        <w:t>• GET /health : System liveness and node/edge count health check.</w:t>
        <w:br/>
        <w:t>• GET /metrics : Telemetry, active cache backend, and threshold configurations.</w:t>
        <w:br/>
        <w:t>• POST /v1/predict : 1-hour calibrated risk inference for requested road segments.</w:t>
        <w:br/>
        <w:t>• POST /v1/route-check : Navigation route hazard evaluation with Valhalla safe detours.</w:t>
        <w:br/>
        <w:t>• GET /v1/hotspots : Lists all active hotspot clusters (&gt;80% risk cutoff).</w:t>
        <w:br/>
        <w:t>• GET /v1/hotspots/{id}/explanation : Generates natural language causative explanation and driver advisory.</w:t>
        <w:br/>
        <w:t>• Interactive Swagger UI: http://localhost:8000/docs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