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left"/>
      </w:pPr>
      <w:r>
        <w:rPr>
          <w:b/>
          <w:color w:val="1E1B4B"/>
          <w:sz w:val="40"/>
        </w:rPr>
        <w:t>Phase 1: Brainstorming &amp; Ideation</w:t>
      </w:r>
    </w:p>
    <w:p>
      <w:pPr>
        <w:spacing w:after="160"/>
      </w:pPr>
      <w:r>
        <w:rPr>
          <w:color w:val="4F46E5"/>
          <w:sz w:val="22"/>
        </w:rPr>
        <w:t>EduGenie Problem Formulation, User Personas &amp; Feasibility Analysis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Pr>
          <w:p>
            <w:pPr>
              <w:spacing w:line="276" w:lineRule="auto"/>
            </w:pPr>
            <w:r>
              <w:rPr>
                <w:b/>
                <w:color w:val="4F46E5"/>
                <w:sz w:val="20"/>
              </w:rPr>
              <w:t>📌 DOCUMENT METADATA</w:t>
              <w:br/>
            </w:r>
            <w:r>
              <w:rPr>
                <w:color w:val="1E1B4B"/>
                <w:sz w:val="19"/>
              </w:rPr>
              <w:t>Project: EduGenie (Google Gemini Powered Learning Assistant)</w:t>
              <w:br/>
              <w:t>Framework: FastAPI ASGI • Runtime: Python 3.10+ / 3.13 • Frontend: Vanilla JS &amp; CSS3</w:t>
              <w:br/>
              <w:t>AI Models: Google Gemini (gemini-1.5-flash / pro) + Local MBZUAI/LaMini-Flan-T5-783M</w:t>
              <w:br/>
              <w:t>Verification: 37 Automated Pytest Test Cases (100% Pass) • Real Playwright Screenshots</w:t>
            </w:r>
          </w:p>
        </w:tc>
      </w:tr>
    </w:tbl>
    <w:p>
      <w:pPr>
        <w:spacing w:after="80"/>
      </w:pPr>
    </w:p>
    <w:p>
      <w:pPr>
        <w:keepNext/>
        <w:spacing w:before="320" w:after="120"/>
      </w:pPr>
      <w:r>
        <w:rPr>
          <w:b/>
          <w:color w:val="1E1B4B"/>
          <w:sz w:val="32"/>
        </w:rPr>
        <w:t>1. Problem Statement</w:t>
      </w:r>
    </w:p>
    <w:p>
      <w:pPr>
        <w:spacing w:after="80" w:line="276" w:lineRule="auto"/>
      </w:pPr>
      <w:r>
        <w:rPr>
          <w:i w:val="0"/>
          <w:color w:val="1E293B"/>
          <w:sz w:val="20"/>
        </w:rPr>
        <w:t>Modern educational environments present students with unprecedented volumes of academic material. However, learners frequently struggle to extract actionable knowledge from dense textbooks, understand abstract scientific concepts, or validate their retention through immediate active recall. Traditional study approaches suffer from three acute challenges:</w:t>
      </w:r>
    </w:p>
    <w:p>
      <w:pPr>
        <w:pStyle w:val="ListBullet"/>
        <w:spacing w:after="60" w:line="276" w:lineRule="auto"/>
      </w:pPr>
      <w:r>
        <w:rPr>
          <w:b/>
          <w:color w:val="0F172A"/>
          <w:sz w:val="20"/>
        </w:rPr>
        <w:t xml:space="preserve">Cognitive Overload: </w:t>
      </w:r>
      <w:r>
        <w:rPr>
          <w:color w:val="1E293B"/>
          <w:sz w:val="20"/>
        </w:rPr>
        <w:t>Students encounter overwhelming cognitive load when reviewing multi-page textbook passages.</w:t>
      </w:r>
    </w:p>
    <w:p>
      <w:pPr>
        <w:pStyle w:val="ListBullet"/>
        <w:spacing w:after="60" w:line="276" w:lineRule="auto"/>
      </w:pPr>
      <w:r>
        <w:rPr>
          <w:b/>
          <w:color w:val="0F172A"/>
          <w:sz w:val="20"/>
        </w:rPr>
        <w:t xml:space="preserve">Conceptual Abstraction: </w:t>
      </w:r>
      <w:r>
        <w:rPr>
          <w:color w:val="1E293B"/>
          <w:sz w:val="20"/>
        </w:rPr>
        <w:t>Static definitions in physics, chemistry, and computer science lack relatable analogies.</w:t>
      </w:r>
    </w:p>
    <w:p>
      <w:pPr>
        <w:pStyle w:val="ListBullet"/>
        <w:spacing w:after="60" w:line="276" w:lineRule="auto"/>
      </w:pPr>
      <w:r>
        <w:rPr>
          <w:b/>
          <w:color w:val="0F172A"/>
          <w:sz w:val="20"/>
        </w:rPr>
        <w:t xml:space="preserve">Lack of Active Recall: </w:t>
      </w:r>
      <w:r>
        <w:rPr>
          <w:color w:val="1E293B"/>
          <w:sz w:val="20"/>
        </w:rPr>
        <w:t>Learners spend hours reading passively without structured self-assessment or feedback.</w:t>
      </w:r>
    </w:p>
    <w:p>
      <w:pPr>
        <w:pStyle w:val="ListBullet"/>
        <w:spacing w:after="60" w:line="276" w:lineRule="auto"/>
      </w:pPr>
      <w:r>
        <w:rPr>
          <w:b/>
          <w:color w:val="0F172A"/>
          <w:sz w:val="20"/>
        </w:rPr>
        <w:t xml:space="preserve">Cloud AI Fragility: </w:t>
      </w:r>
      <w:r>
        <w:rPr>
          <w:color w:val="1E293B"/>
          <w:sz w:val="20"/>
        </w:rPr>
        <w:t>Most cloud-based AI tools crash or fail when API quotas or internet connectivity drops.</w:t>
      </w:r>
    </w:p>
    <w:p>
      <w:pPr>
        <w:keepNext/>
        <w:spacing w:before="320" w:after="120"/>
      </w:pPr>
      <w:r>
        <w:rPr>
          <w:b/>
          <w:color w:val="1E1B4B"/>
          <w:sz w:val="32"/>
        </w:rPr>
        <w:t>2. Target Users &amp; User Personas</w:t>
      </w:r>
    </w:p>
    <w:p>
      <w:pPr>
        <w:spacing w:after="80" w:line="276" w:lineRule="auto"/>
      </w:pPr>
      <w:r>
        <w:rPr>
          <w:i w:val="0"/>
          <w:color w:val="1E293B"/>
          <w:sz w:val="20"/>
        </w:rPr>
        <w:t>EduGenie is engineered for three primary educational demographics:</w:t>
      </w:r>
    </w:p>
    <w:p>
      <w:pPr>
        <w:keepNext/>
        <w:spacing w:before="240" w:after="80"/>
      </w:pPr>
      <w:r>
        <w:rPr>
          <w:b/>
          <w:color w:val="4F46E5"/>
          <w:sz w:val="26"/>
        </w:rPr>
        <w:t>Persona 1: Maya — High School Student (Grade 11)</w:t>
      </w:r>
    </w:p>
    <w:p>
      <w:pPr>
        <w:pStyle w:val="ListBullet"/>
        <w:spacing w:after="60" w:line="276" w:lineRule="auto"/>
      </w:pPr>
      <w:r>
        <w:rPr>
          <w:b/>
          <w:color w:val="0F172A"/>
          <w:sz w:val="20"/>
        </w:rPr>
        <w:t xml:space="preserve">Academic Need: </w:t>
      </w:r>
      <w:r>
        <w:rPr>
          <w:color w:val="1E293B"/>
          <w:sz w:val="20"/>
        </w:rPr>
        <w:t>Preparing for board exams in Physics, Chemistry, and Mathematics.</w:t>
      </w:r>
    </w:p>
    <w:p>
      <w:pPr>
        <w:pStyle w:val="ListBullet"/>
        <w:spacing w:after="60" w:line="276" w:lineRule="auto"/>
      </w:pPr>
      <w:r>
        <w:rPr>
          <w:b/>
          <w:color w:val="0F172A"/>
          <w:sz w:val="20"/>
        </w:rPr>
        <w:t xml:space="preserve">Pain Point: </w:t>
      </w:r>
      <w:r>
        <w:rPr>
          <w:color w:val="1E293B"/>
          <w:sz w:val="20"/>
        </w:rPr>
        <w:t>Gets stuck on abstract concepts like Quantum Computing and Photosynthesis; traditional textbooks are too dense.</w:t>
      </w:r>
    </w:p>
    <w:p>
      <w:pPr>
        <w:pStyle w:val="ListBullet"/>
        <w:spacing w:after="60" w:line="276" w:lineRule="auto"/>
      </w:pPr>
      <w:r>
        <w:rPr>
          <w:b/>
          <w:color w:val="0F172A"/>
          <w:sz w:val="20"/>
        </w:rPr>
        <w:t xml:space="preserve">EduGenie Value: </w:t>
      </w:r>
      <w:r>
        <w:rPr>
          <w:color w:val="1E293B"/>
          <w:sz w:val="20"/>
        </w:rPr>
        <w:t>Uses EduGenie's Concept Explainer and Smart Q&amp;A to break down concepts into simple real-world analogies.</w:t>
      </w:r>
    </w:p>
    <w:p>
      <w:pPr>
        <w:keepNext/>
        <w:spacing w:before="240" w:after="80"/>
      </w:pPr>
      <w:r>
        <w:rPr>
          <w:b/>
          <w:color w:val="4F46E5"/>
          <w:sz w:val="26"/>
        </w:rPr>
        <w:t>Persona 2: Alex — University Computer Science Undergrad</w:t>
      </w:r>
    </w:p>
    <w:p>
      <w:pPr>
        <w:pStyle w:val="ListBullet"/>
        <w:spacing w:after="60" w:line="276" w:lineRule="auto"/>
      </w:pPr>
      <w:r>
        <w:rPr>
          <w:b/>
          <w:color w:val="0F172A"/>
          <w:sz w:val="20"/>
        </w:rPr>
        <w:t xml:space="preserve">Academic Need: </w:t>
      </w:r>
      <w:r>
        <w:rPr>
          <w:color w:val="1E293B"/>
          <w:sz w:val="20"/>
        </w:rPr>
        <w:t>Mastering Data Structures and Algorithms for technical internships.</w:t>
      </w:r>
    </w:p>
    <w:p>
      <w:pPr>
        <w:pStyle w:val="ListBullet"/>
        <w:spacing w:after="60" w:line="276" w:lineRule="auto"/>
      </w:pPr>
      <w:r>
        <w:rPr>
          <w:b/>
          <w:color w:val="0F172A"/>
          <w:sz w:val="20"/>
        </w:rPr>
        <w:t xml:space="preserve">Pain Point: </w:t>
      </w:r>
      <w:r>
        <w:rPr>
          <w:color w:val="1E293B"/>
          <w:sz w:val="20"/>
        </w:rPr>
        <w:t>Needs rapid active recall testing on topics like Binary Search and Pythagoras theorem before coding rounds.</w:t>
      </w:r>
    </w:p>
    <w:p>
      <w:pPr>
        <w:pStyle w:val="ListBullet"/>
        <w:spacing w:after="60" w:line="276" w:lineRule="auto"/>
      </w:pPr>
      <w:r>
        <w:rPr>
          <w:b/>
          <w:color w:val="0F172A"/>
          <w:sz w:val="20"/>
        </w:rPr>
        <w:t xml:space="preserve">EduGenie Value: </w:t>
      </w:r>
      <w:r>
        <w:rPr>
          <w:color w:val="1E293B"/>
          <w:sz w:val="20"/>
        </w:rPr>
        <w:t>Generates instant 3-MCQ quizzes and tests edge cases with real-time score grading.</w:t>
      </w:r>
    </w:p>
    <w:p>
      <w:pPr>
        <w:keepNext/>
        <w:spacing w:before="240" w:after="80"/>
      </w:pPr>
      <w:r>
        <w:rPr>
          <w:b/>
          <w:color w:val="4F46E5"/>
          <w:sz w:val="26"/>
        </w:rPr>
        <w:t>Persona 3: Priya — Self-Taught Career Switcher</w:t>
      </w:r>
    </w:p>
    <w:p>
      <w:pPr>
        <w:pStyle w:val="ListBullet"/>
        <w:spacing w:after="60" w:line="276" w:lineRule="auto"/>
      </w:pPr>
      <w:r>
        <w:rPr>
          <w:b/>
          <w:color w:val="0F172A"/>
          <w:sz w:val="20"/>
        </w:rPr>
        <w:t xml:space="preserve">Academic Need: </w:t>
      </w:r>
      <w:r>
        <w:rPr>
          <w:color w:val="1E293B"/>
          <w:sz w:val="20"/>
        </w:rPr>
        <w:t>Transitioning into Data Analytics and Database Engineering.</w:t>
      </w:r>
    </w:p>
    <w:p>
      <w:pPr>
        <w:pStyle w:val="ListBullet"/>
        <w:spacing w:after="60" w:line="276" w:lineRule="auto"/>
      </w:pPr>
      <w:r>
        <w:rPr>
          <w:b/>
          <w:color w:val="0F172A"/>
          <w:sz w:val="20"/>
        </w:rPr>
        <w:t xml:space="preserve">Pain Point: </w:t>
      </w:r>
      <w:r>
        <w:rPr>
          <w:color w:val="1E293B"/>
          <w:sz w:val="20"/>
        </w:rPr>
        <w:t>Lacks a structured curriculum; feels overwhelmed by disjointed online tutorials.</w:t>
      </w:r>
    </w:p>
    <w:p>
      <w:pPr>
        <w:pStyle w:val="ListBullet"/>
        <w:spacing w:after="60" w:line="276" w:lineRule="auto"/>
      </w:pPr>
      <w:r>
        <w:rPr>
          <w:b/>
          <w:color w:val="0F172A"/>
          <w:sz w:val="20"/>
        </w:rPr>
        <w:t xml:space="preserve">EduGenie Value: </w:t>
      </w:r>
      <w:r>
        <w:rPr>
          <w:color w:val="1E293B"/>
          <w:sz w:val="20"/>
        </w:rPr>
        <w:t>Leverages EduGenie's Learning Path Recommender to get milestone-based roadmaps for SQL and Python.</w:t>
      </w:r>
    </w:p>
    <w:p>
      <w:pPr>
        <w:keepNext/>
        <w:spacing w:before="320" w:after="120"/>
      </w:pPr>
      <w:r>
        <w:rPr>
          <w:b/>
          <w:color w:val="1E1B4B"/>
          <w:sz w:val="32"/>
        </w:rPr>
        <w:t>3. Candidate Ideas Considered &amp; Selection Matrix</w:t>
      </w:r>
    </w:p>
    <w:p>
      <w:pPr>
        <w:spacing w:after="80" w:line="276" w:lineRule="auto"/>
      </w:pPr>
      <w:r>
        <w:rPr>
          <w:i w:val="0"/>
          <w:color w:val="1E293B"/>
          <w:sz w:val="20"/>
        </w:rPr>
        <w:t>During the initial brainstorming sprint, five potential project concepts were evaluated against five key criteria: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1E1B4B"/>
            <w:tcMar>
              <w:top w:w="120" w:type="dxa"/>
              <w:bottom w:w="120" w:type="dxa"/>
              <w:left w:w="150" w:type="dxa"/>
              <w:right w:w="150" w:type="dxa"/>
            </w:tcMar>
          </w:tcPr>
          <w:p>
            <w:pPr>
              <w:jc w:val="center"/>
            </w:pPr>
            <w:r>
              <w:rPr>
                <w:rFonts w:ascii="Calibri" w:hAnsi="Calibri"/>
                <w:b/>
                <w:color w:val="FFFFFF"/>
                <w:sz w:val="19"/>
              </w:rPr>
              <w:t>Concept Idea</w:t>
            </w:r>
          </w:p>
        </w:tc>
        <w:tc>
          <w:tcPr>
            <w:tcW w:type="dxa" w:w="1440"/>
            <w:shd w:fill="1E1B4B"/>
            <w:tcMar>
              <w:top w:w="120" w:type="dxa"/>
              <w:bottom w:w="120" w:type="dxa"/>
              <w:left w:w="150" w:type="dxa"/>
              <w:right w:w="150" w:type="dxa"/>
            </w:tcMar>
          </w:tcPr>
          <w:p>
            <w:pPr>
              <w:jc w:val="center"/>
            </w:pPr>
            <w:r>
              <w:rPr>
                <w:rFonts w:ascii="Calibri" w:hAnsi="Calibri"/>
                <w:b/>
                <w:color w:val="FFFFFF"/>
                <w:sz w:val="19"/>
              </w:rPr>
              <w:t>Student Value</w:t>
            </w:r>
          </w:p>
        </w:tc>
        <w:tc>
          <w:tcPr>
            <w:tcW w:type="dxa" w:w="1584"/>
            <w:shd w:fill="1E1B4B"/>
            <w:tcMar>
              <w:top w:w="120" w:type="dxa"/>
              <w:bottom w:w="120" w:type="dxa"/>
              <w:left w:w="150" w:type="dxa"/>
              <w:right w:w="150" w:type="dxa"/>
            </w:tcMar>
          </w:tcPr>
          <w:p>
            <w:pPr>
              <w:jc w:val="center"/>
            </w:pPr>
            <w:r>
              <w:rPr>
                <w:rFonts w:ascii="Calibri" w:hAnsi="Calibri"/>
                <w:b/>
                <w:color w:val="FFFFFF"/>
                <w:sz w:val="19"/>
              </w:rPr>
              <w:t>AI Feasibility</w:t>
            </w:r>
          </w:p>
        </w:tc>
        <w:tc>
          <w:tcPr>
            <w:tcW w:type="dxa" w:w="1728"/>
            <w:shd w:fill="1E1B4B"/>
            <w:tcMar>
              <w:top w:w="120" w:type="dxa"/>
              <w:bottom w:w="120" w:type="dxa"/>
              <w:left w:w="150" w:type="dxa"/>
              <w:right w:w="150" w:type="dxa"/>
            </w:tcMar>
          </w:tcPr>
          <w:p>
            <w:pPr>
              <w:jc w:val="center"/>
            </w:pPr>
            <w:r>
              <w:rPr>
                <w:rFonts w:ascii="Calibri" w:hAnsi="Calibri"/>
                <w:b/>
                <w:color w:val="FFFFFF"/>
                <w:sz w:val="19"/>
              </w:rPr>
              <w:t>Offline Fallback</w:t>
            </w:r>
          </w:p>
        </w:tc>
        <w:tc>
          <w:tcPr>
            <w:tcW w:type="dxa" w:w="1728"/>
            <w:shd w:fill="1E1B4B"/>
            <w:tcMar>
              <w:top w:w="120" w:type="dxa"/>
              <w:bottom w:w="120" w:type="dxa"/>
              <w:left w:w="150" w:type="dxa"/>
              <w:right w:w="150" w:type="dxa"/>
            </w:tcMar>
          </w:tcPr>
          <w:p>
            <w:pPr>
              <w:jc w:val="center"/>
            </w:pPr>
            <w:r>
              <w:rPr>
                <w:rFonts w:ascii="Calibri" w:hAnsi="Calibri"/>
                <w:b/>
                <w:color w:val="FFFFFF"/>
                <w:sz w:val="19"/>
              </w:rPr>
              <w:t>Implementation Complexity</w:t>
            </w:r>
          </w:p>
        </w:tc>
        <w:tc>
          <w:tcPr>
            <w:tcW w:type="dxa" w:w="1296"/>
            <w:shd w:fill="1E1B4B"/>
            <w:tcMar>
              <w:top w:w="120" w:type="dxa"/>
              <w:bottom w:w="120" w:type="dxa"/>
              <w:left w:w="150" w:type="dxa"/>
              <w:right w:w="150" w:type="dxa"/>
            </w:tcMar>
          </w:tcPr>
          <w:p>
            <w:pPr>
              <w:jc w:val="center"/>
            </w:pPr>
            <w:r>
              <w:rPr>
                <w:rFonts w:ascii="Calibri" w:hAnsi="Calibri"/>
                <w:b/>
                <w:color w:val="FFFFFF"/>
                <w:sz w:val="19"/>
              </w:rPr>
              <w:t>Selected?</w:t>
            </w:r>
          </w:p>
        </w:tc>
      </w:tr>
      <w:tr>
        <w:tc>
          <w:tcPr>
            <w:tcW w:type="dxa" w:w="2592"/>
            <w:shd w:fill="FFFFFF"/>
            <w:tcMar>
              <w:top w:w="80" w:type="dxa"/>
              <w:bottom w:w="80" w:type="dxa"/>
              <w:left w:w="120" w:type="dxa"/>
              <w:right w:w="120" w:type="dxa"/>
            </w:tcMar>
          </w:tcPr>
          <w:p>
            <w:pPr>
              <w:spacing w:line="264" w:lineRule="auto" w:after="40"/>
              <w:jc w:val="center"/>
            </w:pPr>
            <w:r>
              <w:rPr>
                <w:rFonts w:ascii="Calibri" w:hAnsi="Calibri"/>
                <w:color w:val="0F172A"/>
                <w:sz w:val="18"/>
              </w:rPr>
              <w:t>1. EduGenie Learning Assistant</w:t>
            </w:r>
          </w:p>
        </w:tc>
        <w:tc>
          <w:tcPr>
            <w:tcW w:type="dxa" w:w="1440"/>
            <w:shd w:fill="FFFFFF"/>
            <w:tcMar>
              <w:top w:w="80" w:type="dxa"/>
              <w:bottom w:w="80" w:type="dxa"/>
              <w:left w:w="120" w:type="dxa"/>
              <w:right w:w="120" w:type="dxa"/>
            </w:tcMar>
          </w:tcPr>
          <w:p>
            <w:pPr>
              <w:spacing w:line="264" w:lineRule="auto" w:after="40"/>
            </w:pPr>
            <w:r>
              <w:rPr>
                <w:rFonts w:ascii="Calibri" w:hAnsi="Calibri"/>
                <w:color w:val="0F172A"/>
                <w:sz w:val="18"/>
              </w:rPr>
              <w:t>Very High</w:t>
            </w:r>
          </w:p>
        </w:tc>
        <w:tc>
          <w:tcPr>
            <w:tcW w:type="dxa" w:w="1584"/>
            <w:shd w:fill="FFFFFF"/>
            <w:tcMar>
              <w:top w:w="80" w:type="dxa"/>
              <w:bottom w:w="80" w:type="dxa"/>
              <w:left w:w="120" w:type="dxa"/>
              <w:right w:w="120" w:type="dxa"/>
            </w:tcMar>
          </w:tcPr>
          <w:p>
            <w:pPr>
              <w:spacing w:line="264" w:lineRule="auto" w:after="40"/>
            </w:pPr>
            <w:r>
              <w:rPr>
                <w:rFonts w:ascii="Calibri" w:hAnsi="Calibri"/>
                <w:color w:val="0F172A"/>
                <w:sz w:val="18"/>
              </w:rPr>
              <w:t>High (Gemini Flash)</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High (Deterministic)</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Moderate (FastAPI)</w:t>
            </w:r>
          </w:p>
        </w:tc>
        <w:tc>
          <w:tcPr>
            <w:tcW w:type="dxa" w:w="1296"/>
            <w:shd w:fill="FFFFFF"/>
            <w:tcMar>
              <w:top w:w="80" w:type="dxa"/>
              <w:bottom w:w="80" w:type="dxa"/>
              <w:left w:w="120" w:type="dxa"/>
              <w:right w:w="120" w:type="dxa"/>
            </w:tcMar>
          </w:tcPr>
          <w:p>
            <w:pPr>
              <w:spacing w:line="264" w:lineRule="auto" w:after="40"/>
            </w:pPr>
            <w:r>
              <w:rPr>
                <w:rFonts w:ascii="Calibri" w:hAnsi="Calibri"/>
                <w:color w:val="0F172A"/>
                <w:sz w:val="18"/>
              </w:rPr>
              <w:t>YES (Chosen)</w:t>
            </w:r>
          </w:p>
        </w:tc>
      </w:tr>
      <w:tr>
        <w:tc>
          <w:tcPr>
            <w:tcW w:type="dxa" w:w="2592"/>
            <w:shd w:fill="F8FAFC"/>
            <w:tcMar>
              <w:top w:w="80" w:type="dxa"/>
              <w:bottom w:w="80" w:type="dxa"/>
              <w:left w:w="120" w:type="dxa"/>
              <w:right w:w="120" w:type="dxa"/>
            </w:tcMar>
          </w:tcPr>
          <w:p>
            <w:pPr>
              <w:spacing w:line="264" w:lineRule="auto" w:after="40"/>
              <w:jc w:val="center"/>
            </w:pPr>
            <w:r>
              <w:rPr>
                <w:rFonts w:ascii="Calibri" w:hAnsi="Calibri"/>
                <w:color w:val="0F172A"/>
                <w:sz w:val="18"/>
              </w:rPr>
              <w:t>2. Multi-Agent Debate Arena</w:t>
            </w:r>
          </w:p>
        </w:tc>
        <w:tc>
          <w:tcPr>
            <w:tcW w:type="dxa" w:w="1440"/>
            <w:shd w:fill="F8FAFC"/>
            <w:tcMar>
              <w:top w:w="80" w:type="dxa"/>
              <w:bottom w:w="80" w:type="dxa"/>
              <w:left w:w="120" w:type="dxa"/>
              <w:right w:w="120" w:type="dxa"/>
            </w:tcMar>
          </w:tcPr>
          <w:p>
            <w:pPr>
              <w:spacing w:line="264" w:lineRule="auto" w:after="40"/>
            </w:pPr>
            <w:r>
              <w:rPr>
                <w:rFonts w:ascii="Calibri" w:hAnsi="Calibri"/>
                <w:color w:val="0F172A"/>
                <w:sz w:val="18"/>
              </w:rPr>
              <w:t>Moderate</w:t>
            </w:r>
          </w:p>
        </w:tc>
        <w:tc>
          <w:tcPr>
            <w:tcW w:type="dxa" w:w="1584"/>
            <w:shd w:fill="F8FAFC"/>
            <w:tcMar>
              <w:top w:w="80" w:type="dxa"/>
              <w:bottom w:w="80" w:type="dxa"/>
              <w:left w:w="120" w:type="dxa"/>
              <w:right w:w="120" w:type="dxa"/>
            </w:tcMar>
          </w:tcPr>
          <w:p>
            <w:pPr>
              <w:spacing w:line="264" w:lineRule="auto" w:after="40"/>
            </w:pPr>
            <w:r>
              <w:rPr>
                <w:rFonts w:ascii="Calibri" w:hAnsi="Calibri"/>
                <w:color w:val="0F172A"/>
                <w:sz w:val="18"/>
              </w:rPr>
              <w:t>Moderate</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Low (Fragile)</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Very High</w:t>
            </w:r>
          </w:p>
        </w:tc>
        <w:tc>
          <w:tcPr>
            <w:tcW w:type="dxa" w:w="1296"/>
            <w:shd w:fill="F8FAFC"/>
            <w:tcMar>
              <w:top w:w="80" w:type="dxa"/>
              <w:bottom w:w="80" w:type="dxa"/>
              <w:left w:w="120" w:type="dxa"/>
              <w:right w:w="120" w:type="dxa"/>
            </w:tcMar>
          </w:tcPr>
          <w:p>
            <w:pPr>
              <w:spacing w:line="264" w:lineRule="auto" w:after="40"/>
            </w:pPr>
            <w:r>
              <w:rPr>
                <w:rFonts w:ascii="Calibri" w:hAnsi="Calibri"/>
                <w:color w:val="0F172A"/>
                <w:sz w:val="18"/>
              </w:rPr>
              <w:t>No</w:t>
            </w:r>
          </w:p>
        </w:tc>
      </w:tr>
      <w:tr>
        <w:tc>
          <w:tcPr>
            <w:tcW w:type="dxa" w:w="2592"/>
            <w:shd w:fill="FFFFFF"/>
            <w:tcMar>
              <w:top w:w="80" w:type="dxa"/>
              <w:bottom w:w="80" w:type="dxa"/>
              <w:left w:w="120" w:type="dxa"/>
              <w:right w:w="120" w:type="dxa"/>
            </w:tcMar>
          </w:tcPr>
          <w:p>
            <w:pPr>
              <w:spacing w:line="264" w:lineRule="auto" w:after="40"/>
              <w:jc w:val="center"/>
            </w:pPr>
            <w:r>
              <w:rPr>
                <w:rFonts w:ascii="Calibri" w:hAnsi="Calibri"/>
                <w:color w:val="0F172A"/>
                <w:sz w:val="18"/>
              </w:rPr>
              <w:t>3. Automated Video Transcriber</w:t>
            </w:r>
          </w:p>
        </w:tc>
        <w:tc>
          <w:tcPr>
            <w:tcW w:type="dxa" w:w="1440"/>
            <w:shd w:fill="FFFFFF"/>
            <w:tcMar>
              <w:top w:w="80" w:type="dxa"/>
              <w:bottom w:w="80" w:type="dxa"/>
              <w:left w:w="120" w:type="dxa"/>
              <w:right w:w="120" w:type="dxa"/>
            </w:tcMar>
          </w:tcPr>
          <w:p>
            <w:pPr>
              <w:spacing w:line="264" w:lineRule="auto" w:after="40"/>
            </w:pPr>
            <w:r>
              <w:rPr>
                <w:rFonts w:ascii="Calibri" w:hAnsi="Calibri"/>
                <w:b/>
                <w:color w:val="0F172A"/>
                <w:sz w:val="18"/>
              </w:rPr>
              <w:t>High</w:t>
            </w:r>
          </w:p>
        </w:tc>
        <w:tc>
          <w:tcPr>
            <w:tcW w:type="dxa" w:w="1584"/>
            <w:shd w:fill="FFFFFF"/>
            <w:tcMar>
              <w:top w:w="80" w:type="dxa"/>
              <w:bottom w:w="80" w:type="dxa"/>
              <w:left w:w="120" w:type="dxa"/>
              <w:right w:w="120" w:type="dxa"/>
            </w:tcMar>
          </w:tcPr>
          <w:p>
            <w:pPr>
              <w:spacing w:line="264" w:lineRule="auto" w:after="40"/>
            </w:pPr>
            <w:r>
              <w:rPr>
                <w:rFonts w:ascii="Calibri" w:hAnsi="Calibri"/>
                <w:color w:val="0F172A"/>
                <w:sz w:val="18"/>
              </w:rPr>
              <w:t>High (Whisper)</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None (Heavy CPU)</w:t>
            </w:r>
          </w:p>
        </w:tc>
        <w:tc>
          <w:tcPr>
            <w:tcW w:type="dxa" w:w="1728"/>
            <w:shd w:fill="FFFFFF"/>
            <w:tcMar>
              <w:top w:w="80" w:type="dxa"/>
              <w:bottom w:w="80" w:type="dxa"/>
              <w:left w:w="120" w:type="dxa"/>
              <w:right w:w="120" w:type="dxa"/>
            </w:tcMar>
          </w:tcPr>
          <w:p>
            <w:pPr>
              <w:spacing w:line="264" w:lineRule="auto" w:after="40"/>
            </w:pPr>
            <w:r>
              <w:rPr>
                <w:rFonts w:ascii="Calibri" w:hAnsi="Calibri"/>
                <w:b/>
                <w:color w:val="0F172A"/>
                <w:sz w:val="18"/>
              </w:rPr>
              <w:t>High</w:t>
            </w:r>
          </w:p>
        </w:tc>
        <w:tc>
          <w:tcPr>
            <w:tcW w:type="dxa" w:w="1296"/>
            <w:shd w:fill="FFFFFF"/>
            <w:tcMar>
              <w:top w:w="80" w:type="dxa"/>
              <w:bottom w:w="80" w:type="dxa"/>
              <w:left w:w="120" w:type="dxa"/>
              <w:right w:w="120" w:type="dxa"/>
            </w:tcMar>
          </w:tcPr>
          <w:p>
            <w:pPr>
              <w:spacing w:line="264" w:lineRule="auto" w:after="40"/>
            </w:pPr>
            <w:r>
              <w:rPr>
                <w:rFonts w:ascii="Calibri" w:hAnsi="Calibri"/>
                <w:color w:val="0F172A"/>
                <w:sz w:val="18"/>
              </w:rPr>
              <w:t>No</w:t>
            </w:r>
          </w:p>
        </w:tc>
      </w:tr>
      <w:tr>
        <w:tc>
          <w:tcPr>
            <w:tcW w:type="dxa" w:w="2592"/>
            <w:shd w:fill="F8FAFC"/>
            <w:tcMar>
              <w:top w:w="80" w:type="dxa"/>
              <w:bottom w:w="80" w:type="dxa"/>
              <w:left w:w="120" w:type="dxa"/>
              <w:right w:w="120" w:type="dxa"/>
            </w:tcMar>
          </w:tcPr>
          <w:p>
            <w:pPr>
              <w:spacing w:line="264" w:lineRule="auto" w:after="40"/>
              <w:jc w:val="center"/>
            </w:pPr>
            <w:r>
              <w:rPr>
                <w:rFonts w:ascii="Calibri" w:hAnsi="Calibri"/>
                <w:color w:val="0F172A"/>
                <w:sz w:val="18"/>
              </w:rPr>
              <w:t>4. Flashcard Generator Only</w:t>
            </w:r>
          </w:p>
        </w:tc>
        <w:tc>
          <w:tcPr>
            <w:tcW w:type="dxa" w:w="1440"/>
            <w:shd w:fill="F8FAFC"/>
            <w:tcMar>
              <w:top w:w="80" w:type="dxa"/>
              <w:bottom w:w="80" w:type="dxa"/>
              <w:left w:w="120" w:type="dxa"/>
              <w:right w:w="120" w:type="dxa"/>
            </w:tcMar>
          </w:tcPr>
          <w:p>
            <w:pPr>
              <w:spacing w:line="264" w:lineRule="auto" w:after="40"/>
            </w:pPr>
            <w:r>
              <w:rPr>
                <w:rFonts w:ascii="Calibri" w:hAnsi="Calibri"/>
                <w:color w:val="0F172A"/>
                <w:sz w:val="18"/>
              </w:rPr>
              <w:t>Moderate</w:t>
            </w:r>
          </w:p>
        </w:tc>
        <w:tc>
          <w:tcPr>
            <w:tcW w:type="dxa" w:w="1584"/>
            <w:shd w:fill="F8FAFC"/>
            <w:tcMar>
              <w:top w:w="80" w:type="dxa"/>
              <w:bottom w:w="80" w:type="dxa"/>
              <w:left w:w="120" w:type="dxa"/>
              <w:right w:w="120" w:type="dxa"/>
            </w:tcMar>
          </w:tcPr>
          <w:p>
            <w:pPr>
              <w:spacing w:line="264" w:lineRule="auto" w:after="40"/>
            </w:pPr>
            <w:r>
              <w:rPr>
                <w:rFonts w:ascii="Calibri" w:hAnsi="Calibri"/>
                <w:b/>
                <w:color w:val="0F172A"/>
                <w:sz w:val="18"/>
              </w:rPr>
              <w:t>High</w:t>
            </w:r>
          </w:p>
        </w:tc>
        <w:tc>
          <w:tcPr>
            <w:tcW w:type="dxa" w:w="1728"/>
            <w:shd w:fill="F8FAFC"/>
            <w:tcMar>
              <w:top w:w="80" w:type="dxa"/>
              <w:bottom w:w="80" w:type="dxa"/>
              <w:left w:w="120" w:type="dxa"/>
              <w:right w:w="120" w:type="dxa"/>
            </w:tcMar>
          </w:tcPr>
          <w:p>
            <w:pPr>
              <w:spacing w:line="264" w:lineRule="auto" w:after="40"/>
            </w:pPr>
            <w:r>
              <w:rPr>
                <w:rFonts w:ascii="Calibri" w:hAnsi="Calibri"/>
                <w:b/>
                <w:color w:val="0F172A"/>
                <w:sz w:val="18"/>
              </w:rPr>
              <w:t>High</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Low (Too Basic)</w:t>
            </w:r>
          </w:p>
        </w:tc>
        <w:tc>
          <w:tcPr>
            <w:tcW w:type="dxa" w:w="1296"/>
            <w:shd w:fill="F8FAFC"/>
            <w:tcMar>
              <w:top w:w="80" w:type="dxa"/>
              <w:bottom w:w="80" w:type="dxa"/>
              <w:left w:w="120" w:type="dxa"/>
              <w:right w:w="120" w:type="dxa"/>
            </w:tcMar>
          </w:tcPr>
          <w:p>
            <w:pPr>
              <w:spacing w:line="264" w:lineRule="auto" w:after="40"/>
            </w:pPr>
            <w:r>
              <w:rPr>
                <w:rFonts w:ascii="Calibri" w:hAnsi="Calibri"/>
                <w:color w:val="0F172A"/>
                <w:sz w:val="18"/>
              </w:rPr>
              <w:t>No</w:t>
            </w:r>
          </w:p>
        </w:tc>
      </w:tr>
      <w:tr>
        <w:tc>
          <w:tcPr>
            <w:tcW w:type="dxa" w:w="2592"/>
            <w:shd w:fill="FFFFFF"/>
            <w:tcMar>
              <w:top w:w="80" w:type="dxa"/>
              <w:bottom w:w="80" w:type="dxa"/>
              <w:left w:w="120" w:type="dxa"/>
              <w:right w:w="120" w:type="dxa"/>
            </w:tcMar>
          </w:tcPr>
          <w:p>
            <w:pPr>
              <w:spacing w:line="264" w:lineRule="auto" w:after="40"/>
              <w:jc w:val="center"/>
            </w:pPr>
            <w:r>
              <w:rPr>
                <w:rFonts w:ascii="Calibri" w:hAnsi="Calibri"/>
                <w:color w:val="0F172A"/>
                <w:sz w:val="18"/>
              </w:rPr>
              <w:t>5. PDF Essay Auto-Grader</w:t>
            </w:r>
          </w:p>
        </w:tc>
        <w:tc>
          <w:tcPr>
            <w:tcW w:type="dxa" w:w="1440"/>
            <w:shd w:fill="FFFFFF"/>
            <w:tcMar>
              <w:top w:w="80" w:type="dxa"/>
              <w:bottom w:w="80" w:type="dxa"/>
              <w:left w:w="120" w:type="dxa"/>
              <w:right w:w="120" w:type="dxa"/>
            </w:tcMar>
          </w:tcPr>
          <w:p>
            <w:pPr>
              <w:spacing w:line="264" w:lineRule="auto" w:after="40"/>
            </w:pPr>
            <w:r>
              <w:rPr>
                <w:rFonts w:ascii="Calibri" w:hAnsi="Calibri"/>
                <w:b/>
                <w:color w:val="0F172A"/>
                <w:sz w:val="18"/>
              </w:rPr>
              <w:t>High</w:t>
            </w:r>
          </w:p>
        </w:tc>
        <w:tc>
          <w:tcPr>
            <w:tcW w:type="dxa" w:w="1584"/>
            <w:shd w:fill="FFFFFF"/>
            <w:tcMar>
              <w:top w:w="80" w:type="dxa"/>
              <w:bottom w:w="80" w:type="dxa"/>
              <w:left w:w="120" w:type="dxa"/>
              <w:right w:w="120" w:type="dxa"/>
            </w:tcMar>
          </w:tcPr>
          <w:p>
            <w:pPr>
              <w:spacing w:line="264" w:lineRule="auto" w:after="40"/>
            </w:pPr>
            <w:r>
              <w:rPr>
                <w:rFonts w:ascii="Calibri" w:hAnsi="Calibri"/>
                <w:color w:val="0F172A"/>
                <w:sz w:val="18"/>
              </w:rPr>
              <w:t>Moderate</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Low</w:t>
            </w:r>
          </w:p>
        </w:tc>
        <w:tc>
          <w:tcPr>
            <w:tcW w:type="dxa" w:w="1728"/>
            <w:shd w:fill="FFFFFF"/>
            <w:tcMar>
              <w:top w:w="80" w:type="dxa"/>
              <w:bottom w:w="80" w:type="dxa"/>
              <w:left w:w="120" w:type="dxa"/>
              <w:right w:w="120" w:type="dxa"/>
            </w:tcMar>
          </w:tcPr>
          <w:p>
            <w:pPr>
              <w:spacing w:line="264" w:lineRule="auto" w:after="40"/>
            </w:pPr>
            <w:r>
              <w:rPr>
                <w:rFonts w:ascii="Calibri" w:hAnsi="Calibri"/>
                <w:b/>
                <w:color w:val="0F172A"/>
                <w:sz w:val="18"/>
              </w:rPr>
              <w:t>High</w:t>
            </w:r>
          </w:p>
        </w:tc>
        <w:tc>
          <w:tcPr>
            <w:tcW w:type="dxa" w:w="1296"/>
            <w:shd w:fill="FFFFFF"/>
            <w:tcMar>
              <w:top w:w="80" w:type="dxa"/>
              <w:bottom w:w="80" w:type="dxa"/>
              <w:left w:w="120" w:type="dxa"/>
              <w:right w:w="120" w:type="dxa"/>
            </w:tcMar>
          </w:tcPr>
          <w:p>
            <w:pPr>
              <w:spacing w:line="264" w:lineRule="auto" w:after="40"/>
            </w:pPr>
            <w:r>
              <w:rPr>
                <w:rFonts w:ascii="Calibri" w:hAnsi="Calibri"/>
                <w:color w:val="0F172A"/>
                <w:sz w:val="18"/>
              </w:rPr>
              <w:t>No</w:t>
            </w:r>
          </w:p>
        </w:tc>
      </w:tr>
    </w:tbl>
    <w:p>
      <w:pPr>
        <w:spacing w:after="80"/>
      </w:pPr>
    </w:p>
    <w:p>
      <w:pPr>
        <w:keepNext/>
        <w:spacing w:before="320" w:after="120"/>
      </w:pPr>
      <w:r>
        <w:rPr>
          <w:b/>
          <w:color w:val="1E1B4B"/>
          <w:sz w:val="32"/>
        </w:rPr>
        <w:t>4. Proposed Solution &amp; Unique Value Proposition</w:t>
      </w:r>
    </w:p>
    <w:p>
      <w:pPr>
        <w:spacing w:after="80" w:line="276" w:lineRule="auto"/>
      </w:pPr>
      <w:r>
        <w:rPr>
          <w:i w:val="0"/>
          <w:color w:val="1E293B"/>
          <w:sz w:val="20"/>
        </w:rPr>
        <w:t>EduGenie is a lightweight, responsive learning assistant powered by Google Gemini and local transformer models. It combines 5 core learning capabilities into a unified glassmorphism dashboard: Smart Q&amp;A, Concept Simplification, Text Summarization, Interactive Quiz Generation with automated grading, and Personalized Learning Roadmaps. Its unique value lies in its hybrid inference architecture and deterministic fallback engine that guarantees zero downtime.</w:t>
      </w:r>
    </w:p>
    <w:p>
      <w:pPr>
        <w:keepNext/>
        <w:spacing w:before="320" w:after="120"/>
      </w:pPr>
      <w:r>
        <w:rPr>
          <w:b/>
          <w:color w:val="1E1B4B"/>
          <w:sz w:val="32"/>
        </w:rPr>
        <w:t>5. Key Features: Must-Have vs Nice-to-Have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1B4B"/>
            <w:tcMar>
              <w:top w:w="120" w:type="dxa"/>
              <w:bottom w:w="120" w:type="dxa"/>
              <w:left w:w="150" w:type="dxa"/>
              <w:right w:w="150" w:type="dxa"/>
            </w:tcMar>
          </w:tcPr>
          <w:p>
            <w:pPr>
              <w:jc w:val="center"/>
            </w:pPr>
            <w:r>
              <w:rPr>
                <w:rFonts w:ascii="Calibri" w:hAnsi="Calibri"/>
                <w:b/>
                <w:color w:val="FFFFFF"/>
                <w:sz w:val="19"/>
              </w:rPr>
              <w:t>Feature Category</w:t>
            </w:r>
          </w:p>
        </w:tc>
        <w:tc>
          <w:tcPr>
            <w:tcW w:type="dxa" w:w="3600"/>
            <w:shd w:fill="1E1B4B"/>
            <w:tcMar>
              <w:top w:w="120" w:type="dxa"/>
              <w:bottom w:w="120" w:type="dxa"/>
              <w:left w:w="150" w:type="dxa"/>
              <w:right w:w="150" w:type="dxa"/>
            </w:tcMar>
          </w:tcPr>
          <w:p>
            <w:pPr>
              <w:jc w:val="center"/>
            </w:pPr>
            <w:r>
              <w:rPr>
                <w:rFonts w:ascii="Calibri" w:hAnsi="Calibri"/>
                <w:b/>
                <w:color w:val="FFFFFF"/>
                <w:sz w:val="19"/>
              </w:rPr>
              <w:t>Feature Description</w:t>
            </w:r>
          </w:p>
        </w:tc>
        <w:tc>
          <w:tcPr>
            <w:tcW w:type="dxa" w:w="1728"/>
            <w:shd w:fill="1E1B4B"/>
            <w:tcMar>
              <w:top w:w="120" w:type="dxa"/>
              <w:bottom w:w="120" w:type="dxa"/>
              <w:left w:w="150" w:type="dxa"/>
              <w:right w:w="150" w:type="dxa"/>
            </w:tcMar>
          </w:tcPr>
          <w:p>
            <w:pPr>
              <w:jc w:val="center"/>
            </w:pPr>
            <w:r>
              <w:rPr>
                <w:rFonts w:ascii="Calibri" w:hAnsi="Calibri"/>
                <w:b/>
                <w:color w:val="FFFFFF"/>
                <w:sz w:val="19"/>
              </w:rPr>
              <w:t>Target Route</w:t>
            </w:r>
          </w:p>
        </w:tc>
        <w:tc>
          <w:tcPr>
            <w:tcW w:type="dxa" w:w="1728"/>
            <w:shd w:fill="1E1B4B"/>
            <w:tcMar>
              <w:top w:w="120" w:type="dxa"/>
              <w:bottom w:w="120" w:type="dxa"/>
              <w:left w:w="150" w:type="dxa"/>
              <w:right w:w="150" w:type="dxa"/>
            </w:tcMar>
          </w:tcPr>
          <w:p>
            <w:pPr>
              <w:jc w:val="center"/>
            </w:pPr>
            <w:r>
              <w:rPr>
                <w:rFonts w:ascii="Calibri" w:hAnsi="Calibri"/>
                <w:b/>
                <w:color w:val="FFFFFF"/>
                <w:sz w:val="19"/>
              </w:rPr>
              <w:t>Priority</w:t>
            </w:r>
          </w:p>
        </w:tc>
      </w:tr>
      <w:tr>
        <w:tc>
          <w:tcPr>
            <w:tcW w:type="dxa" w:w="2160"/>
            <w:shd w:fill="FFFFFF"/>
            <w:tcMar>
              <w:top w:w="80" w:type="dxa"/>
              <w:bottom w:w="80" w:type="dxa"/>
              <w:left w:w="120" w:type="dxa"/>
              <w:right w:w="120" w:type="dxa"/>
            </w:tcMar>
          </w:tcPr>
          <w:p>
            <w:pPr>
              <w:spacing w:line="264" w:lineRule="auto" w:after="40"/>
              <w:jc w:val="center"/>
            </w:pPr>
            <w:r>
              <w:rPr>
                <w:rFonts w:ascii="Calibri" w:hAnsi="Calibri"/>
                <w:color w:val="0F172A"/>
                <w:sz w:val="18"/>
              </w:rPr>
              <w:t>Smart Q&amp;A</w:t>
            </w:r>
          </w:p>
        </w:tc>
        <w:tc>
          <w:tcPr>
            <w:tcW w:type="dxa" w:w="3600"/>
            <w:shd w:fill="FFFFFF"/>
            <w:tcMar>
              <w:top w:w="80" w:type="dxa"/>
              <w:bottom w:w="80" w:type="dxa"/>
              <w:left w:w="120" w:type="dxa"/>
              <w:right w:w="120" w:type="dxa"/>
            </w:tcMar>
          </w:tcPr>
          <w:p>
            <w:pPr>
              <w:spacing w:line="264" w:lineRule="auto" w:after="40"/>
            </w:pPr>
            <w:r>
              <w:rPr>
                <w:rFonts w:ascii="Calibri" w:hAnsi="Calibri"/>
                <w:color w:val="0F172A"/>
                <w:sz w:val="18"/>
              </w:rPr>
              <w:t>Concise, factual answering of student queries</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GET /qa</w:t>
            </w:r>
          </w:p>
        </w:tc>
        <w:tc>
          <w:tcPr>
            <w:tcW w:type="dxa" w:w="1728"/>
            <w:shd w:fill="FFFFFF"/>
            <w:tcMar>
              <w:top w:w="80" w:type="dxa"/>
              <w:bottom w:w="80" w:type="dxa"/>
              <w:left w:w="120" w:type="dxa"/>
              <w:right w:w="120" w:type="dxa"/>
            </w:tcMar>
          </w:tcPr>
          <w:p>
            <w:pPr>
              <w:spacing w:line="264" w:lineRule="auto" w:after="40"/>
              <w:jc w:val="center"/>
            </w:pPr>
            <w:r>
              <w:rPr>
                <w:rFonts w:ascii="Calibri" w:hAnsi="Calibri"/>
                <w:color w:val="0F172A"/>
                <w:sz w:val="18"/>
              </w:rPr>
              <w:t>Must-Have (P1)</w:t>
            </w:r>
          </w:p>
        </w:tc>
      </w:tr>
      <w:tr>
        <w:tc>
          <w:tcPr>
            <w:tcW w:type="dxa" w:w="2160"/>
            <w:shd w:fill="F8FAFC"/>
            <w:tcMar>
              <w:top w:w="80" w:type="dxa"/>
              <w:bottom w:w="80" w:type="dxa"/>
              <w:left w:w="120" w:type="dxa"/>
              <w:right w:w="120" w:type="dxa"/>
            </w:tcMar>
          </w:tcPr>
          <w:p>
            <w:pPr>
              <w:spacing w:line="264" w:lineRule="auto" w:after="40"/>
              <w:jc w:val="center"/>
            </w:pPr>
            <w:r>
              <w:rPr>
                <w:rFonts w:ascii="Calibri" w:hAnsi="Calibri"/>
                <w:color w:val="0F172A"/>
                <w:sz w:val="18"/>
              </w:rPr>
              <w:t>Concept Explainer</w:t>
            </w:r>
          </w:p>
        </w:tc>
        <w:tc>
          <w:tcPr>
            <w:tcW w:type="dxa" w:w="3600"/>
            <w:shd w:fill="F8FAFC"/>
            <w:tcMar>
              <w:top w:w="80" w:type="dxa"/>
              <w:bottom w:w="80" w:type="dxa"/>
              <w:left w:w="120" w:type="dxa"/>
              <w:right w:w="120" w:type="dxa"/>
            </w:tcMar>
          </w:tcPr>
          <w:p>
            <w:pPr>
              <w:spacing w:line="264" w:lineRule="auto" w:after="40"/>
            </w:pPr>
            <w:r>
              <w:rPr>
                <w:rFonts w:ascii="Calibri" w:hAnsi="Calibri"/>
                <w:color w:val="0F172A"/>
                <w:sz w:val="18"/>
              </w:rPr>
              <w:t>Simplifies concepts using analogies for school students</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POST /explain</w:t>
            </w:r>
          </w:p>
        </w:tc>
        <w:tc>
          <w:tcPr>
            <w:tcW w:type="dxa" w:w="1728"/>
            <w:shd w:fill="F8FAFC"/>
            <w:tcMar>
              <w:top w:w="80" w:type="dxa"/>
              <w:bottom w:w="80" w:type="dxa"/>
              <w:left w:w="120" w:type="dxa"/>
              <w:right w:w="120" w:type="dxa"/>
            </w:tcMar>
          </w:tcPr>
          <w:p>
            <w:pPr>
              <w:spacing w:line="264" w:lineRule="auto" w:after="40"/>
              <w:jc w:val="center"/>
            </w:pPr>
            <w:r>
              <w:rPr>
                <w:rFonts w:ascii="Calibri" w:hAnsi="Calibri"/>
                <w:color w:val="0F172A"/>
                <w:sz w:val="18"/>
              </w:rPr>
              <w:t>Must-Have (P1)</w:t>
            </w:r>
          </w:p>
        </w:tc>
      </w:tr>
      <w:tr>
        <w:tc>
          <w:tcPr>
            <w:tcW w:type="dxa" w:w="2160"/>
            <w:shd w:fill="FFFFFF"/>
            <w:tcMar>
              <w:top w:w="80" w:type="dxa"/>
              <w:bottom w:w="80" w:type="dxa"/>
              <w:left w:w="120" w:type="dxa"/>
              <w:right w:w="120" w:type="dxa"/>
            </w:tcMar>
          </w:tcPr>
          <w:p>
            <w:pPr>
              <w:spacing w:line="264" w:lineRule="auto" w:after="40"/>
              <w:jc w:val="center"/>
            </w:pPr>
            <w:r>
              <w:rPr>
                <w:rFonts w:ascii="Calibri" w:hAnsi="Calibri"/>
                <w:color w:val="0F172A"/>
                <w:sz w:val="18"/>
              </w:rPr>
              <w:t>Dual Backend</w:t>
            </w:r>
          </w:p>
        </w:tc>
        <w:tc>
          <w:tcPr>
            <w:tcW w:type="dxa" w:w="3600"/>
            <w:shd w:fill="FFFFFF"/>
            <w:tcMar>
              <w:top w:w="80" w:type="dxa"/>
              <w:bottom w:w="80" w:type="dxa"/>
              <w:left w:w="120" w:type="dxa"/>
              <w:right w:w="120" w:type="dxa"/>
            </w:tcMar>
          </w:tcPr>
          <w:p>
            <w:pPr>
              <w:spacing w:line="264" w:lineRule="auto" w:after="40"/>
            </w:pPr>
            <w:r>
              <w:rPr>
                <w:rFonts w:ascii="Calibri" w:hAnsi="Calibri"/>
                <w:color w:val="0F172A"/>
                <w:sz w:val="18"/>
              </w:rPr>
              <w:t>Support for Google Gemini Cloud &amp; Local HuggingFace model</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POST /explain</w:t>
            </w:r>
          </w:p>
        </w:tc>
        <w:tc>
          <w:tcPr>
            <w:tcW w:type="dxa" w:w="1728"/>
            <w:shd w:fill="FFFFFF"/>
            <w:tcMar>
              <w:top w:w="80" w:type="dxa"/>
              <w:bottom w:w="80" w:type="dxa"/>
              <w:left w:w="120" w:type="dxa"/>
              <w:right w:w="120" w:type="dxa"/>
            </w:tcMar>
          </w:tcPr>
          <w:p>
            <w:pPr>
              <w:spacing w:line="264" w:lineRule="auto" w:after="40"/>
              <w:jc w:val="center"/>
            </w:pPr>
            <w:r>
              <w:rPr>
                <w:rFonts w:ascii="Calibri" w:hAnsi="Calibri"/>
                <w:color w:val="0F172A"/>
                <w:sz w:val="18"/>
              </w:rPr>
              <w:t>Must-Have (P1)</w:t>
            </w:r>
          </w:p>
        </w:tc>
      </w:tr>
      <w:tr>
        <w:tc>
          <w:tcPr>
            <w:tcW w:type="dxa" w:w="2160"/>
            <w:shd w:fill="F8FAFC"/>
            <w:tcMar>
              <w:top w:w="80" w:type="dxa"/>
              <w:bottom w:w="80" w:type="dxa"/>
              <w:left w:w="120" w:type="dxa"/>
              <w:right w:w="120" w:type="dxa"/>
            </w:tcMar>
          </w:tcPr>
          <w:p>
            <w:pPr>
              <w:spacing w:line="264" w:lineRule="auto" w:after="40"/>
              <w:jc w:val="center"/>
            </w:pPr>
            <w:r>
              <w:rPr>
                <w:rFonts w:ascii="Calibri" w:hAnsi="Calibri"/>
                <w:color w:val="0F172A"/>
                <w:sz w:val="18"/>
              </w:rPr>
              <w:t>Interactive Quiz</w:t>
            </w:r>
          </w:p>
        </w:tc>
        <w:tc>
          <w:tcPr>
            <w:tcW w:type="dxa" w:w="3600"/>
            <w:shd w:fill="F8FAFC"/>
            <w:tcMar>
              <w:top w:w="80" w:type="dxa"/>
              <w:bottom w:w="80" w:type="dxa"/>
              <w:left w:w="120" w:type="dxa"/>
              <w:right w:w="120" w:type="dxa"/>
            </w:tcMar>
          </w:tcPr>
          <w:p>
            <w:pPr>
              <w:spacing w:line="264" w:lineRule="auto" w:after="40"/>
            </w:pPr>
            <w:r>
              <w:rPr>
                <w:rFonts w:ascii="Calibri" w:hAnsi="Calibri"/>
                <w:color w:val="0F172A"/>
                <w:sz w:val="18"/>
              </w:rPr>
              <w:t>Generates exactly 3 MCQs with 4 options and automated grading</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POST /quiz</w:t>
            </w:r>
          </w:p>
        </w:tc>
        <w:tc>
          <w:tcPr>
            <w:tcW w:type="dxa" w:w="1728"/>
            <w:shd w:fill="F8FAFC"/>
            <w:tcMar>
              <w:top w:w="80" w:type="dxa"/>
              <w:bottom w:w="80" w:type="dxa"/>
              <w:left w:w="120" w:type="dxa"/>
              <w:right w:w="120" w:type="dxa"/>
            </w:tcMar>
          </w:tcPr>
          <w:p>
            <w:pPr>
              <w:spacing w:line="264" w:lineRule="auto" w:after="40"/>
              <w:jc w:val="center"/>
            </w:pPr>
            <w:r>
              <w:rPr>
                <w:rFonts w:ascii="Calibri" w:hAnsi="Calibri"/>
                <w:color w:val="0F172A"/>
                <w:sz w:val="18"/>
              </w:rPr>
              <w:t>Must-Have (P1)</w:t>
            </w:r>
          </w:p>
        </w:tc>
      </w:tr>
      <w:tr>
        <w:tc>
          <w:tcPr>
            <w:tcW w:type="dxa" w:w="2160"/>
            <w:shd w:fill="FFFFFF"/>
            <w:tcMar>
              <w:top w:w="80" w:type="dxa"/>
              <w:bottom w:w="80" w:type="dxa"/>
              <w:left w:w="120" w:type="dxa"/>
              <w:right w:w="120" w:type="dxa"/>
            </w:tcMar>
          </w:tcPr>
          <w:p>
            <w:pPr>
              <w:spacing w:line="264" w:lineRule="auto" w:after="40"/>
              <w:jc w:val="center"/>
            </w:pPr>
            <w:r>
              <w:rPr>
                <w:rFonts w:ascii="Calibri" w:hAnsi="Calibri"/>
                <w:color w:val="0F172A"/>
                <w:sz w:val="18"/>
              </w:rPr>
              <w:t>Text Summarizer</w:t>
            </w:r>
          </w:p>
        </w:tc>
        <w:tc>
          <w:tcPr>
            <w:tcW w:type="dxa" w:w="3600"/>
            <w:shd w:fill="FFFFFF"/>
            <w:tcMar>
              <w:top w:w="80" w:type="dxa"/>
              <w:bottom w:w="80" w:type="dxa"/>
              <w:left w:w="120" w:type="dxa"/>
              <w:right w:w="120" w:type="dxa"/>
            </w:tcMar>
          </w:tcPr>
          <w:p>
            <w:pPr>
              <w:spacing w:line="264" w:lineRule="auto" w:after="40"/>
            </w:pPr>
            <w:r>
              <w:rPr>
                <w:rFonts w:ascii="Calibri" w:hAnsi="Calibri"/>
                <w:color w:val="0F172A"/>
                <w:sz w:val="18"/>
              </w:rPr>
              <w:t>Condenses long textbook passages into 4 key bullet points</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POST /summarize</w:t>
            </w:r>
          </w:p>
        </w:tc>
        <w:tc>
          <w:tcPr>
            <w:tcW w:type="dxa" w:w="1728"/>
            <w:shd w:fill="FFFFFF"/>
            <w:tcMar>
              <w:top w:w="80" w:type="dxa"/>
              <w:bottom w:w="80" w:type="dxa"/>
              <w:left w:w="120" w:type="dxa"/>
              <w:right w:w="120" w:type="dxa"/>
            </w:tcMar>
          </w:tcPr>
          <w:p>
            <w:pPr>
              <w:spacing w:line="264" w:lineRule="auto" w:after="40"/>
              <w:jc w:val="center"/>
            </w:pPr>
            <w:r>
              <w:rPr>
                <w:rFonts w:ascii="Calibri" w:hAnsi="Calibri"/>
                <w:color w:val="0F172A"/>
                <w:sz w:val="18"/>
              </w:rPr>
              <w:t>Must-Have (P1)</w:t>
            </w:r>
          </w:p>
        </w:tc>
      </w:tr>
      <w:tr>
        <w:tc>
          <w:tcPr>
            <w:tcW w:type="dxa" w:w="2160"/>
            <w:shd w:fill="F8FAFC"/>
            <w:tcMar>
              <w:top w:w="80" w:type="dxa"/>
              <w:bottom w:w="80" w:type="dxa"/>
              <w:left w:w="120" w:type="dxa"/>
              <w:right w:w="120" w:type="dxa"/>
            </w:tcMar>
          </w:tcPr>
          <w:p>
            <w:pPr>
              <w:spacing w:line="264" w:lineRule="auto" w:after="40"/>
              <w:jc w:val="center"/>
            </w:pPr>
            <w:r>
              <w:rPr>
                <w:rFonts w:ascii="Calibri" w:hAnsi="Calibri"/>
                <w:color w:val="0F172A"/>
                <w:sz w:val="18"/>
              </w:rPr>
              <w:t>Learning Roadmap</w:t>
            </w:r>
          </w:p>
        </w:tc>
        <w:tc>
          <w:tcPr>
            <w:tcW w:type="dxa" w:w="3600"/>
            <w:shd w:fill="F8FAFC"/>
            <w:tcMar>
              <w:top w:w="80" w:type="dxa"/>
              <w:bottom w:w="80" w:type="dxa"/>
              <w:left w:w="120" w:type="dxa"/>
              <w:right w:w="120" w:type="dxa"/>
            </w:tcMar>
          </w:tcPr>
          <w:p>
            <w:pPr>
              <w:spacing w:line="264" w:lineRule="auto" w:after="40"/>
            </w:pPr>
            <w:r>
              <w:rPr>
                <w:rFonts w:ascii="Calibri" w:hAnsi="Calibri"/>
                <w:color w:val="0F172A"/>
                <w:sz w:val="18"/>
              </w:rPr>
              <w:t>Milestone curriculum roadmap from Beginner to Advanced</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GET /learn</w:t>
            </w:r>
          </w:p>
        </w:tc>
        <w:tc>
          <w:tcPr>
            <w:tcW w:type="dxa" w:w="1728"/>
            <w:shd w:fill="F8FAFC"/>
            <w:tcMar>
              <w:top w:w="80" w:type="dxa"/>
              <w:bottom w:w="80" w:type="dxa"/>
              <w:left w:w="120" w:type="dxa"/>
              <w:right w:w="120" w:type="dxa"/>
            </w:tcMar>
          </w:tcPr>
          <w:p>
            <w:pPr>
              <w:spacing w:line="264" w:lineRule="auto" w:after="40"/>
              <w:jc w:val="center"/>
            </w:pPr>
            <w:r>
              <w:rPr>
                <w:rFonts w:ascii="Calibri" w:hAnsi="Calibri"/>
                <w:color w:val="0F172A"/>
                <w:sz w:val="18"/>
              </w:rPr>
              <w:t>Must-Have (P1)</w:t>
            </w:r>
          </w:p>
        </w:tc>
      </w:tr>
      <w:tr>
        <w:tc>
          <w:tcPr>
            <w:tcW w:type="dxa" w:w="2160"/>
            <w:shd w:fill="FFFFFF"/>
            <w:tcMar>
              <w:top w:w="80" w:type="dxa"/>
              <w:bottom w:w="80" w:type="dxa"/>
              <w:left w:w="120" w:type="dxa"/>
              <w:right w:w="120" w:type="dxa"/>
            </w:tcMar>
          </w:tcPr>
          <w:p>
            <w:pPr>
              <w:spacing w:line="264" w:lineRule="auto" w:after="40"/>
              <w:jc w:val="center"/>
            </w:pPr>
            <w:r>
              <w:rPr>
                <w:rFonts w:ascii="Calibri" w:hAnsi="Calibri"/>
                <w:color w:val="0F172A"/>
                <w:sz w:val="18"/>
              </w:rPr>
              <w:t>Offline Fallbacks</w:t>
            </w:r>
          </w:p>
        </w:tc>
        <w:tc>
          <w:tcPr>
            <w:tcW w:type="dxa" w:w="3600"/>
            <w:shd w:fill="FFFFFF"/>
            <w:tcMar>
              <w:top w:w="80" w:type="dxa"/>
              <w:bottom w:w="80" w:type="dxa"/>
              <w:left w:w="120" w:type="dxa"/>
              <w:right w:w="120" w:type="dxa"/>
            </w:tcMar>
          </w:tcPr>
          <w:p>
            <w:pPr>
              <w:spacing w:line="264" w:lineRule="auto" w:after="40"/>
            </w:pPr>
            <w:r>
              <w:rPr>
                <w:rFonts w:ascii="Calibri" w:hAnsi="Calibri"/>
                <w:color w:val="0F172A"/>
                <w:sz w:val="18"/>
              </w:rPr>
              <w:t>Deterministic zero-downtime offline generator on API failure</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All Modules</w:t>
            </w:r>
          </w:p>
        </w:tc>
        <w:tc>
          <w:tcPr>
            <w:tcW w:type="dxa" w:w="1728"/>
            <w:shd w:fill="FFFFFF"/>
            <w:tcMar>
              <w:top w:w="80" w:type="dxa"/>
              <w:bottom w:w="80" w:type="dxa"/>
              <w:left w:w="120" w:type="dxa"/>
              <w:right w:w="120" w:type="dxa"/>
            </w:tcMar>
          </w:tcPr>
          <w:p>
            <w:pPr>
              <w:spacing w:line="264" w:lineRule="auto" w:after="40"/>
              <w:jc w:val="center"/>
            </w:pPr>
            <w:r>
              <w:rPr>
                <w:rFonts w:ascii="Calibri" w:hAnsi="Calibri"/>
                <w:color w:val="0F172A"/>
                <w:sz w:val="18"/>
              </w:rPr>
              <w:t>Must-Have (P1)</w:t>
            </w:r>
          </w:p>
        </w:tc>
      </w:tr>
      <w:tr>
        <w:tc>
          <w:tcPr>
            <w:tcW w:type="dxa" w:w="2160"/>
            <w:shd w:fill="F8FAFC"/>
            <w:tcMar>
              <w:top w:w="80" w:type="dxa"/>
              <w:bottom w:w="80" w:type="dxa"/>
              <w:left w:w="120" w:type="dxa"/>
              <w:right w:w="120" w:type="dxa"/>
            </w:tcMar>
          </w:tcPr>
          <w:p>
            <w:pPr>
              <w:spacing w:line="264" w:lineRule="auto" w:after="40"/>
              <w:jc w:val="center"/>
            </w:pPr>
            <w:r>
              <w:rPr>
                <w:rFonts w:ascii="Calibri" w:hAnsi="Calibri"/>
                <w:color w:val="0F172A"/>
                <w:sz w:val="18"/>
              </w:rPr>
              <w:t>Voice Interaction</w:t>
            </w:r>
          </w:p>
        </w:tc>
        <w:tc>
          <w:tcPr>
            <w:tcW w:type="dxa" w:w="3600"/>
            <w:shd w:fill="F8FAFC"/>
            <w:tcMar>
              <w:top w:w="80" w:type="dxa"/>
              <w:bottom w:w="80" w:type="dxa"/>
              <w:left w:w="120" w:type="dxa"/>
              <w:right w:w="120" w:type="dxa"/>
            </w:tcMar>
          </w:tcPr>
          <w:p>
            <w:pPr>
              <w:spacing w:line="264" w:lineRule="auto" w:after="40"/>
            </w:pPr>
            <w:r>
              <w:rPr>
                <w:rFonts w:ascii="Calibri" w:hAnsi="Calibri"/>
                <w:color w:val="0F172A"/>
                <w:sz w:val="18"/>
              </w:rPr>
              <w:t>Speech-to-text input and audio explanation output</w:t>
            </w:r>
          </w:p>
        </w:tc>
        <w:tc>
          <w:tcPr>
            <w:tcW w:type="dxa" w:w="1728"/>
            <w:shd w:fill="F8FAFC"/>
            <w:tcMar>
              <w:top w:w="80" w:type="dxa"/>
              <w:bottom w:w="80" w:type="dxa"/>
              <w:left w:w="120" w:type="dxa"/>
              <w:right w:w="120" w:type="dxa"/>
            </w:tcMar>
          </w:tcPr>
          <w:p>
            <w:pPr>
              <w:spacing w:line="264" w:lineRule="auto" w:after="40"/>
            </w:pPr>
            <w:r>
              <w:rPr>
                <w:rFonts w:ascii="Calibri" w:hAnsi="Calibri"/>
                <w:color w:val="0F172A"/>
                <w:sz w:val="18"/>
              </w:rPr>
              <w:t>UI Audio</w:t>
            </w:r>
          </w:p>
        </w:tc>
        <w:tc>
          <w:tcPr>
            <w:tcW w:type="dxa" w:w="1728"/>
            <w:shd w:fill="F8FAFC"/>
            <w:tcMar>
              <w:top w:w="80" w:type="dxa"/>
              <w:bottom w:w="80" w:type="dxa"/>
              <w:left w:w="120" w:type="dxa"/>
              <w:right w:w="120" w:type="dxa"/>
            </w:tcMar>
          </w:tcPr>
          <w:p>
            <w:pPr>
              <w:spacing w:line="264" w:lineRule="auto" w:after="40"/>
              <w:jc w:val="center"/>
            </w:pPr>
            <w:r>
              <w:rPr>
                <w:rFonts w:ascii="Calibri" w:hAnsi="Calibri"/>
                <w:color w:val="0F172A"/>
                <w:sz w:val="18"/>
              </w:rPr>
              <w:t>Nice-to-Have (P2)</w:t>
            </w:r>
          </w:p>
        </w:tc>
      </w:tr>
      <w:tr>
        <w:tc>
          <w:tcPr>
            <w:tcW w:type="dxa" w:w="2160"/>
            <w:shd w:fill="FFFFFF"/>
            <w:tcMar>
              <w:top w:w="80" w:type="dxa"/>
              <w:bottom w:w="80" w:type="dxa"/>
              <w:left w:w="120" w:type="dxa"/>
              <w:right w:w="120" w:type="dxa"/>
            </w:tcMar>
          </w:tcPr>
          <w:p>
            <w:pPr>
              <w:spacing w:line="264" w:lineRule="auto" w:after="40"/>
              <w:jc w:val="center"/>
            </w:pPr>
            <w:r>
              <w:rPr>
                <w:rFonts w:ascii="Calibri" w:hAnsi="Calibri"/>
                <w:color w:val="0F172A"/>
                <w:sz w:val="18"/>
              </w:rPr>
              <w:t>Multi-Language</w:t>
            </w:r>
          </w:p>
        </w:tc>
        <w:tc>
          <w:tcPr>
            <w:tcW w:type="dxa" w:w="3600"/>
            <w:shd w:fill="FFFFFF"/>
            <w:tcMar>
              <w:top w:w="80" w:type="dxa"/>
              <w:bottom w:w="80" w:type="dxa"/>
              <w:left w:w="120" w:type="dxa"/>
              <w:right w:w="120" w:type="dxa"/>
            </w:tcMar>
          </w:tcPr>
          <w:p>
            <w:pPr>
              <w:spacing w:line="264" w:lineRule="auto" w:after="40"/>
            </w:pPr>
            <w:r>
              <w:rPr>
                <w:rFonts w:ascii="Calibri" w:hAnsi="Calibri"/>
                <w:color w:val="0F172A"/>
                <w:sz w:val="18"/>
              </w:rPr>
              <w:t>Multilingual translation for non-English speakers</w:t>
            </w:r>
          </w:p>
        </w:tc>
        <w:tc>
          <w:tcPr>
            <w:tcW w:type="dxa" w:w="1728"/>
            <w:shd w:fill="FFFFFF"/>
            <w:tcMar>
              <w:top w:w="80" w:type="dxa"/>
              <w:bottom w:w="80" w:type="dxa"/>
              <w:left w:w="120" w:type="dxa"/>
              <w:right w:w="120" w:type="dxa"/>
            </w:tcMar>
          </w:tcPr>
          <w:p>
            <w:pPr>
              <w:spacing w:line="264" w:lineRule="auto" w:after="40"/>
            </w:pPr>
            <w:r>
              <w:rPr>
                <w:rFonts w:ascii="Calibri" w:hAnsi="Calibri"/>
                <w:color w:val="0F172A"/>
                <w:sz w:val="18"/>
              </w:rPr>
              <w:t>Localization</w:t>
            </w:r>
          </w:p>
        </w:tc>
        <w:tc>
          <w:tcPr>
            <w:tcW w:type="dxa" w:w="1728"/>
            <w:shd w:fill="FFFFFF"/>
            <w:tcMar>
              <w:top w:w="80" w:type="dxa"/>
              <w:bottom w:w="80" w:type="dxa"/>
              <w:left w:w="120" w:type="dxa"/>
              <w:right w:w="120" w:type="dxa"/>
            </w:tcMar>
          </w:tcPr>
          <w:p>
            <w:pPr>
              <w:spacing w:line="264" w:lineRule="auto" w:after="40"/>
              <w:jc w:val="center"/>
            </w:pPr>
            <w:r>
              <w:rPr>
                <w:rFonts w:ascii="Calibri" w:hAnsi="Calibri"/>
                <w:color w:val="0F172A"/>
                <w:sz w:val="18"/>
              </w:rPr>
              <w:t>Nice-to-Have (P2)</w:t>
            </w:r>
          </w:p>
        </w:tc>
      </w:tr>
    </w:tbl>
    <w:p>
      <w:pPr>
        <w:spacing w:after="80"/>
      </w:pPr>
    </w:p>
    <w:p>
      <w:pPr>
        <w:keepNext/>
        <w:spacing w:before="320" w:after="120"/>
      </w:pPr>
      <w:r>
        <w:rPr>
          <w:b/>
          <w:color w:val="1E1B4B"/>
          <w:sz w:val="32"/>
        </w:rPr>
        <w:t>6. Why Generative AI (Gemini) Fits &amp; Risk Mitigation</w:t>
      </w:r>
    </w:p>
    <w:p>
      <w:pPr>
        <w:spacing w:after="80" w:line="276" w:lineRule="auto"/>
      </w:pPr>
      <w:r>
        <w:rPr>
          <w:i w:val="0"/>
          <w:color w:val="1E293B"/>
          <w:sz w:val="20"/>
        </w:rPr>
        <w:t>Google Gemini (gemini-1.5-flash and gemini-1.5-pro) offers massive context windows, rapid reasoning, and structured JSON generation. However, deploying Generative AI in education requires strict risk controls:</w:t>
      </w:r>
    </w:p>
    <w:p>
      <w:pPr>
        <w:pStyle w:val="ListBullet"/>
        <w:spacing w:after="60" w:line="276" w:lineRule="auto"/>
      </w:pPr>
      <w:r>
        <w:rPr>
          <w:b/>
          <w:color w:val="0F172A"/>
          <w:sz w:val="20"/>
        </w:rPr>
        <w:t xml:space="preserve">Risk 1 — Factual Hallucinations: </w:t>
      </w:r>
      <w:r>
        <w:rPr>
          <w:color w:val="1E293B"/>
          <w:sz w:val="20"/>
        </w:rPr>
        <w:t>Handled by strict prompt constraints, temperature control (0.2), and verified offline fallbacks.</w:t>
      </w:r>
    </w:p>
    <w:p>
      <w:pPr>
        <w:pStyle w:val="ListBullet"/>
        <w:spacing w:after="60" w:line="276" w:lineRule="auto"/>
      </w:pPr>
      <w:r>
        <w:rPr>
          <w:b/>
          <w:color w:val="0F172A"/>
          <w:sz w:val="20"/>
        </w:rPr>
        <w:t xml:space="preserve">Risk 2 — API Rate Limits &amp; Cost: </w:t>
      </w:r>
      <w:r>
        <w:rPr>
          <w:color w:val="1E293B"/>
          <w:sz w:val="20"/>
        </w:rPr>
        <w:t>Mitigated by caching, payload minimization, and automatic offline demo generator routing.</w:t>
      </w:r>
    </w:p>
    <w:p>
      <w:pPr>
        <w:pStyle w:val="ListBullet"/>
        <w:spacing w:after="60" w:line="276" w:lineRule="auto"/>
      </w:pPr>
      <w:r>
        <w:rPr>
          <w:b/>
          <w:color w:val="0F172A"/>
          <w:sz w:val="20"/>
        </w:rPr>
        <w:t xml:space="preserve">Risk 3 — Data Privacy &amp; Security: </w:t>
      </w:r>
      <w:r>
        <w:rPr>
          <w:color w:val="1E293B"/>
          <w:sz w:val="20"/>
        </w:rPr>
        <w:t>EduGenie operates statelessly without persisting student PII or credentials.</w:t>
      </w:r>
    </w:p>
    <w:p>
      <w:pPr>
        <w:spacing w:before="160" w:after="80"/>
        <w:jc w:val="center"/>
      </w:pPr>
      <w:r>
        <w:drawing>
          <wp:inline xmlns:a="http://schemas.openxmlformats.org/drawingml/2006/main" xmlns:pic="http://schemas.openxmlformats.org/drawingml/2006/picture">
            <wp:extent cx="5029200" cy="2827544"/>
            <wp:docPr id="1" name="Picture 1"/>
            <wp:cNvGraphicFramePr>
              <a:graphicFrameLocks noChangeAspect="1"/>
            </wp:cNvGraphicFramePr>
            <a:graphic>
              <a:graphicData uri="http://schemas.openxmlformats.org/drawingml/2006/picture">
                <pic:pic>
                  <pic:nvPicPr>
                    <pic:cNvPr id="0" name="01_dashboard_initial.png"/>
                    <pic:cNvPicPr/>
                  </pic:nvPicPr>
                  <pic:blipFill>
                    <a:blip r:embed="rId11"/>
                    <a:stretch>
                      <a:fillRect/>
                    </a:stretch>
                  </pic:blipFill>
                  <pic:spPr>
                    <a:xfrm>
                      <a:off x="0" y="0"/>
                      <a:ext cx="5029200" cy="2827544"/>
                    </a:xfrm>
                    <a:prstGeom prst="rect"/>
                  </pic:spPr>
                </pic:pic>
              </a:graphicData>
            </a:graphic>
          </wp:inline>
        </w:drawing>
      </w:r>
    </w:p>
    <w:p>
      <w:pPr>
        <w:spacing w:after="160"/>
        <w:jc w:val="center"/>
      </w:pPr>
      <w:r>
        <w:rPr>
          <w:i/>
          <w:color w:val="64748B"/>
          <w:sz w:val="17"/>
        </w:rPr>
        <w:t>Figure 1.1: EduGenie Web Dashboard Landing State with Demo Mode Badge and 5 Feature Cards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Academic &amp; Internship Project Submission • Technical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EduGenie: Google Gemini Powered Learning Assistant • Phase 1: Brainstorming &amp; Ideation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