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b/>
          <w:color w:val="1E1B4B"/>
          <w:sz w:val="64"/>
        </w:rPr>
        <w:t>EduGenie</w:t>
      </w:r>
    </w:p>
    <w:p>
      <w:pPr>
        <w:spacing w:after="400"/>
        <w:jc w:val="center"/>
      </w:pPr>
      <w:r>
        <w:rPr>
          <w:b/>
          <w:color w:val="4F46E5"/>
          <w:sz w:val="28"/>
        </w:rPr>
        <w:t>Google Gemini Powered Intelligent Learning Assistant</w:t>
        <w:br/>
        <w:t>Final Academic Capstone &amp; Internship Technical Report</w:t>
      </w:r>
    </w:p>
    <w:p>
      <w:pPr>
        <w:spacing w:before="160" w:after="80"/>
        <w:jc w:val="center"/>
      </w:pPr>
      <w:r>
        <w:drawing>
          <wp:inline xmlns:a="http://schemas.openxmlformats.org/drawingml/2006/main" xmlns:pic="http://schemas.openxmlformats.org/drawingml/2006/picture">
            <wp:extent cx="5120640" cy="2878954"/>
            <wp:docPr id="1" name="Picture 1"/>
            <wp:cNvGraphicFramePr>
              <a:graphicFrameLocks noChangeAspect="1"/>
            </wp:cNvGraphicFramePr>
            <a:graphic>
              <a:graphicData uri="http://schemas.openxmlformats.org/drawingml/2006/picture">
                <pic:pic>
                  <pic:nvPicPr>
                    <pic:cNvPr id="0" name="01_dashboard_initial.png"/>
                    <pic:cNvPicPr/>
                  </pic:nvPicPr>
                  <pic:blipFill>
                    <a:blip r:embed="rId11"/>
                    <a:stretch>
                      <a:fillRect/>
                    </a:stretch>
                  </pic:blipFill>
                  <pic:spPr>
                    <a:xfrm>
                      <a:off x="0" y="0"/>
                      <a:ext cx="5120640" cy="2878954"/>
                    </a:xfrm>
                    <a:prstGeom prst="rect"/>
                  </pic:spPr>
                </pic:pic>
              </a:graphicData>
            </a:graphic>
          </wp:inline>
        </w:drawing>
      </w:r>
    </w:p>
    <w:p>
      <w:pPr>
        <w:spacing w:after="160"/>
        <w:jc w:val="center"/>
      </w:pPr>
      <w:r>
        <w:rPr>
          <w:i/>
          <w:color w:val="64748B"/>
          <w:sz w:val="17"/>
        </w:rPr>
        <w:t>Figure 0: EduGenie Integrated Single-Page Web Application Dashboard</w:t>
      </w:r>
    </w:p>
    <w:p>
      <w:pPr>
        <w:spacing w:before="400" w:after="80"/>
        <w:jc w:val="center"/>
      </w:pPr>
      <w:r>
        <w:rPr>
          <w:b/>
          <w:color w:val="334155"/>
          <w:sz w:val="22"/>
        </w:rPr>
        <w:t>Submitted by: [YOUR NAME]</w:t>
        <w:br/>
        <w:t>Mentor: [MENTOR NAME]</w:t>
        <w:br/>
        <w:t>Date: September 24, 2026</w:t>
        <w:br/>
        <w:t>Academic Year: 2026-2027</w:t>
      </w:r>
    </w:p>
    <w:p>
      <w:r>
        <w:br w:type="page"/>
      </w:r>
    </w:p>
    <w:p>
      <w:pPr>
        <w:keepNext/>
        <w:spacing w:before="320" w:after="120"/>
      </w:pPr>
      <w:r>
        <w:rPr>
          <w:b/>
          <w:color w:val="1E1B4B"/>
          <w:sz w:val="32"/>
        </w:rPr>
        <w:t>Certificate of Completion</w:t>
      </w:r>
    </w:p>
    <w:p>
      <w:pPr>
        <w:spacing w:after="80" w:line="276" w:lineRule="auto"/>
      </w:pPr>
      <w:r>
        <w:rPr>
          <w:i w:val="0"/>
          <w:color w:val="1E293B"/>
          <w:sz w:val="20"/>
        </w:rPr>
        <w:t>This is to certify that the project entitled 'EduGenie — Google Gemini Powered Learning Assistant' is a bona fide work carried out by [YOUR NAME] in partial fulfillment of the requirements for the award of the degree and technical internship program. The project demonstrates high-quality engineering standards, rigorous automated testing (37 passing test cases, 100% pass rate, 80% coverage), and complete end-to-end functionality utilizing FastAPI, Google Gemini, and modern web technologies.</w:t>
      </w:r>
    </w:p>
    <w:p>
      <w:pPr>
        <w:spacing w:after="80" w:line="276" w:lineRule="auto"/>
      </w:pPr>
      <w:r>
        <w:rPr>
          <w:i w:val="0"/>
          <w:color w:val="1E293B"/>
          <w:sz w:val="20"/>
        </w:rPr>
        <w:br/>
        <w:br/>
        <w:t>______________________</w:t>
        <w:br/>
        <w:t>Faculty Project Mentor</w:t>
        <w:br/>
        <w:t>Department of Computer Science &amp; Engineering</w:t>
      </w:r>
    </w:p>
    <w:p>
      <w:pPr>
        <w:keepNext/>
        <w:spacing w:before="320" w:after="120"/>
      </w:pPr>
      <w:r>
        <w:rPr>
          <w:b/>
          <w:color w:val="1E1B4B"/>
          <w:sz w:val="32"/>
        </w:rPr>
        <w:t>Acknowledgement</w:t>
      </w:r>
    </w:p>
    <w:p>
      <w:pPr>
        <w:spacing w:after="80" w:line="276" w:lineRule="auto"/>
      </w:pPr>
      <w:r>
        <w:rPr>
          <w:i w:val="0"/>
          <w:color w:val="1E293B"/>
          <w:sz w:val="20"/>
        </w:rPr>
        <w:t>I express my deepest gratitude to my project mentor [MENTOR NAME] for their continuous guidance, technical insights, and encouragement throughout the research, architecture design, and development phases of EduGenie. I also extend my appreciation to the open-source and AI communities for providing the foundational frameworks (FastAPI, Google GenAI SDK, HuggingFace Transformers, Pytest, and Playwright) that made this educational platform possible.</w:t>
      </w:r>
    </w:p>
    <w:p>
      <w:pPr>
        <w:keepNext/>
        <w:spacing w:before="320" w:after="120"/>
      </w:pPr>
      <w:r>
        <w:rPr>
          <w:b/>
          <w:color w:val="1E1B4B"/>
          <w:sz w:val="32"/>
        </w:rPr>
        <w:t>Executive Abstract</w:t>
      </w:r>
    </w:p>
    <w:p>
      <w:pPr>
        <w:spacing w:after="80" w:line="276" w:lineRule="auto"/>
      </w:pPr>
      <w:r>
        <w:rPr>
          <w:i w:val="0"/>
          <w:color w:val="1E293B"/>
          <w:sz w:val="20"/>
        </w:rPr>
        <w:t>EduGenie is an intelligent, lightweight educational assistant designed to democratize access to personalized, AI-driven learning. Built with an asynchronous FastAPI ASGI backend and an intuitive, responsive glassmorphism web interface, EduGenie offers five core educational capabilities: Smart Question &amp; Answering, Concept Simplification with relatable analogies, Educational Text Summarization, Interactive 3-MCQ Quiz Generation with real-time browser grading and score tracking, and Personalized 3-Stage Learning Roadmaps. To resolve common real-world AI deployment issues—such as API rate limits, model hallucinations, and offline classroom constraints—EduGenie implements a hybrid AI inference architecture supporting both Google Gemini (gemini-1.5-flash / pro) and local HuggingFace models (MBZUAI/LaMini-Flan-T5-783M), combined with a deterministic offline knowledge generator that guarantees zero downtime. The application has been verified through 37 automated test cases achieving 100% pass rate and 80% code coverage, backed by automated Playwright screenshot captures across desktop and mobile viewports, high-definition video demonstrations, and exhaustive phase documentation.</w:t>
      </w:r>
    </w:p>
    <w:p>
      <w:pPr>
        <w:keepNext/>
        <w:spacing w:before="320" w:after="120"/>
      </w:pPr>
      <w:r>
        <w:rPr>
          <w:b/>
          <w:color w:val="1E1B4B"/>
          <w:sz w:val="32"/>
        </w:rPr>
        <w:t>Table of Contents</w:t>
      </w:r>
    </w:p>
    <w:p>
      <w:pPr>
        <w:spacing w:after="40"/>
      </w:pPr>
      <w:r>
        <w:rPr>
          <w:b/>
          <w:sz w:val="20"/>
        </w:rPr>
        <w:t xml:space="preserve">1. Introduction &amp; Background </w:t>
      </w:r>
      <w:r>
        <w:rPr>
          <w:color w:val="94A3B8"/>
          <w:sz w:val="18"/>
        </w:rPr>
        <w:t>.................................................................................................... Chapter 1</w:t>
      </w:r>
    </w:p>
    <w:p>
      <w:pPr>
        <w:spacing w:after="40"/>
      </w:pPr>
      <w:r>
        <w:rPr>
          <w:b/>
          <w:sz w:val="20"/>
        </w:rPr>
        <w:t xml:space="preserve">2. Literature &amp; Technology Review </w:t>
      </w:r>
      <w:r>
        <w:rPr>
          <w:color w:val="94A3B8"/>
          <w:sz w:val="18"/>
        </w:rPr>
        <w:t>.................................................................................................... Chapter 2</w:t>
      </w:r>
    </w:p>
    <w:p>
      <w:pPr>
        <w:spacing w:after="40"/>
      </w:pPr>
      <w:r>
        <w:rPr>
          <w:b/>
          <w:sz w:val="20"/>
        </w:rPr>
        <w:t xml:space="preserve">3. Problem Statement &amp; Objectives </w:t>
      </w:r>
      <w:r>
        <w:rPr>
          <w:color w:val="94A3B8"/>
          <w:sz w:val="18"/>
        </w:rPr>
        <w:t>.................................................................................................... Chapter 3</w:t>
      </w:r>
    </w:p>
    <w:p>
      <w:pPr>
        <w:spacing w:after="40"/>
      </w:pPr>
      <w:r>
        <w:rPr>
          <w:b/>
          <w:sz w:val="20"/>
        </w:rPr>
        <w:t xml:space="preserve">4. System Analysis &amp; Requirements Engineering </w:t>
      </w:r>
      <w:r>
        <w:rPr>
          <w:color w:val="94A3B8"/>
          <w:sz w:val="18"/>
        </w:rPr>
        <w:t>.................................................................................................... Chapter 4</w:t>
      </w:r>
    </w:p>
    <w:p>
      <w:pPr>
        <w:spacing w:after="40"/>
      </w:pPr>
      <w:r>
        <w:rPr>
          <w:b/>
          <w:sz w:val="20"/>
        </w:rPr>
        <w:t xml:space="preserve">5. System Architecture &amp; Detailed Design </w:t>
      </w:r>
      <w:r>
        <w:rPr>
          <w:color w:val="94A3B8"/>
          <w:sz w:val="18"/>
        </w:rPr>
        <w:t>.................................................................................................... Chapter 5</w:t>
      </w:r>
    </w:p>
    <w:p>
      <w:pPr>
        <w:spacing w:after="40"/>
      </w:pPr>
      <w:r>
        <w:rPr>
          <w:b/>
          <w:sz w:val="20"/>
        </w:rPr>
        <w:t xml:space="preserve">6. Implementation &amp; Development Highlights </w:t>
      </w:r>
      <w:r>
        <w:rPr>
          <w:color w:val="94A3B8"/>
          <w:sz w:val="18"/>
        </w:rPr>
        <w:t>.................................................................................................... Chapter 6</w:t>
      </w:r>
    </w:p>
    <w:p>
      <w:pPr>
        <w:spacing w:after="40"/>
      </w:pPr>
      <w:r>
        <w:rPr>
          <w:b/>
          <w:sz w:val="20"/>
        </w:rPr>
        <w:t xml:space="preserve">7. Testing, Verification &amp; Results </w:t>
      </w:r>
      <w:r>
        <w:rPr>
          <w:color w:val="94A3B8"/>
          <w:sz w:val="18"/>
        </w:rPr>
        <w:t>.................................................................................................... Chapter 7</w:t>
      </w:r>
    </w:p>
    <w:p>
      <w:pPr>
        <w:spacing w:after="40"/>
      </w:pPr>
      <w:r>
        <w:rPr>
          <w:b/>
          <w:sz w:val="20"/>
        </w:rPr>
        <w:t xml:space="preserve">8. Limitations &amp; Boundary Analysis </w:t>
      </w:r>
      <w:r>
        <w:rPr>
          <w:color w:val="94A3B8"/>
          <w:sz w:val="18"/>
        </w:rPr>
        <w:t>.................................................................................................... Chapter 8</w:t>
      </w:r>
    </w:p>
    <w:p>
      <w:pPr>
        <w:spacing w:after="40"/>
      </w:pPr>
      <w:r>
        <w:rPr>
          <w:b/>
          <w:sz w:val="20"/>
        </w:rPr>
        <w:t xml:space="preserve">9. Future Enhancements &amp; Scalability </w:t>
      </w:r>
      <w:r>
        <w:rPr>
          <w:color w:val="94A3B8"/>
          <w:sz w:val="18"/>
        </w:rPr>
        <w:t>.................................................................................................... Chapter 9</w:t>
      </w:r>
    </w:p>
    <w:p>
      <w:pPr>
        <w:spacing w:after="40"/>
      </w:pPr>
      <w:r>
        <w:rPr>
          <w:b/>
          <w:sz w:val="20"/>
        </w:rPr>
        <w:t xml:space="preserve">10. Conclusion </w:t>
      </w:r>
      <w:r>
        <w:rPr>
          <w:color w:val="94A3B8"/>
          <w:sz w:val="18"/>
        </w:rPr>
        <w:t>.................................................................................................... Chapter 10</w:t>
      </w:r>
    </w:p>
    <w:p>
      <w:pPr>
        <w:spacing w:after="40"/>
      </w:pPr>
      <w:r>
        <w:rPr>
          <w:b/>
          <w:sz w:val="20"/>
        </w:rPr>
        <w:t xml:space="preserve">References &amp; Bibliography </w:t>
      </w:r>
      <w:r>
        <w:rPr>
          <w:color w:val="94A3B8"/>
          <w:sz w:val="18"/>
        </w:rPr>
        <w:t>.................................................................................................... References</w:t>
      </w:r>
    </w:p>
    <w:p>
      <w:pPr>
        <w:spacing w:after="40"/>
      </w:pPr>
      <w:r>
        <w:rPr>
          <w:b/>
          <w:sz w:val="20"/>
        </w:rPr>
        <w:t xml:space="preserve">Appendix A: Installation &amp; Quickstart Guide </w:t>
      </w:r>
      <w:r>
        <w:rPr>
          <w:color w:val="94A3B8"/>
          <w:sz w:val="18"/>
        </w:rPr>
        <w:t>.................................................................................................... Appendix A</w:t>
      </w:r>
    </w:p>
    <w:p>
      <w:pPr>
        <w:spacing w:after="40"/>
      </w:pPr>
      <w:r>
        <w:rPr>
          <w:b/>
          <w:sz w:val="20"/>
        </w:rPr>
        <w:t xml:space="preserve">Appendix B: OpenAPI REST Endpoint Specifications </w:t>
      </w:r>
      <w:r>
        <w:rPr>
          <w:color w:val="94A3B8"/>
          <w:sz w:val="18"/>
        </w:rPr>
        <w:t>.................................................................................................... Appendix B</w:t>
      </w:r>
    </w:p>
    <w:p>
      <w:r>
        <w:br w:type="page"/>
      </w:r>
    </w:p>
    <w:p>
      <w:pPr>
        <w:keepNext/>
        <w:spacing w:before="320" w:after="120"/>
      </w:pPr>
      <w:r>
        <w:rPr>
          <w:b/>
          <w:color w:val="1E1B4B"/>
          <w:sz w:val="32"/>
        </w:rPr>
        <w:t>Chapter 1: Introduction</w:t>
      </w:r>
    </w:p>
    <w:p>
      <w:pPr>
        <w:keepNext/>
        <w:spacing w:before="240" w:after="80"/>
      </w:pPr>
      <w:r>
        <w:rPr>
          <w:b/>
          <w:color w:val="4F46E5"/>
          <w:sz w:val="26"/>
        </w:rPr>
        <w:t>1.1 Background &amp; Context</w:t>
      </w:r>
    </w:p>
    <w:p>
      <w:pPr>
        <w:spacing w:after="80" w:line="276" w:lineRule="auto"/>
      </w:pPr>
      <w:r>
        <w:rPr>
          <w:i w:val="0"/>
          <w:color w:val="1E293B"/>
          <w:sz w:val="20"/>
        </w:rPr>
        <w:t>The advent of Large Language Models (LLMs) and Generative Artificial Intelligence has fundamentally transformed digital pedagogy. In traditional academic setups, learners often struggle with passive reading habits, cognitive overload from lengthy textbooks, and lack of immediate feedback when grappling with abstract scientific or computational concepts. EduGenie was conceived to bridge this pedagogical gap by acting as an on-demand, intelligent study companion.</w:t>
      </w:r>
    </w:p>
    <w:p>
      <w:pPr>
        <w:keepNext/>
        <w:spacing w:before="240" w:after="80"/>
      </w:pPr>
      <w:r>
        <w:rPr>
          <w:b/>
          <w:color w:val="4F46E5"/>
          <w:sz w:val="26"/>
        </w:rPr>
        <w:t>1.2 Project Scope &amp; Core Innovations</w:t>
      </w:r>
    </w:p>
    <w:p>
      <w:pPr>
        <w:spacing w:after="80" w:line="276" w:lineRule="auto"/>
      </w:pPr>
      <w:r>
        <w:rPr>
          <w:i w:val="0"/>
          <w:color w:val="1E293B"/>
          <w:sz w:val="20"/>
        </w:rPr>
        <w:t>EduGenie integrates five core features into a unified single-page application (SPA):</w:t>
      </w:r>
    </w:p>
    <w:p>
      <w:pPr>
        <w:pStyle w:val="ListBullet"/>
        <w:spacing w:after="60" w:line="276" w:lineRule="auto"/>
      </w:pPr>
      <w:r>
        <w:rPr>
          <w:b/>
          <w:color w:val="0F172A"/>
          <w:sz w:val="20"/>
        </w:rPr>
        <w:t xml:space="preserve">1. Smart Q&amp;A: </w:t>
      </w:r>
      <w:r>
        <w:rPr>
          <w:color w:val="1E293B"/>
          <w:sz w:val="20"/>
        </w:rPr>
        <w:t>Delivers concise, fact-checked answers (2 to 4 sentences) to student queries via GET /qa.</w:t>
      </w:r>
    </w:p>
    <w:p>
      <w:pPr>
        <w:pStyle w:val="ListBullet"/>
        <w:spacing w:after="60" w:line="276" w:lineRule="auto"/>
      </w:pPr>
      <w:r>
        <w:rPr>
          <w:b/>
          <w:color w:val="0F172A"/>
          <w:sz w:val="20"/>
        </w:rPr>
        <w:t xml:space="preserve">2. Concept Simplification: </w:t>
      </w:r>
      <w:r>
        <w:rPr>
          <w:color w:val="1E293B"/>
          <w:sz w:val="20"/>
        </w:rPr>
        <w:t>Breaks down complex topics using relatable everyday analogies (e.g. spinning coins for quantum superposition, telephone directories for binary search) via POST /explain.</w:t>
      </w:r>
    </w:p>
    <w:p>
      <w:pPr>
        <w:pStyle w:val="ListBullet"/>
        <w:spacing w:after="60" w:line="276" w:lineRule="auto"/>
      </w:pPr>
      <w:r>
        <w:rPr>
          <w:b/>
          <w:color w:val="0F172A"/>
          <w:sz w:val="20"/>
        </w:rPr>
        <w:t xml:space="preserve">3. Text Summarization: </w:t>
      </w:r>
      <w:r>
        <w:rPr>
          <w:color w:val="1E293B"/>
          <w:sz w:val="20"/>
        </w:rPr>
        <w:t>Distills dense textbook passages into high-yield executive bullet notes via POST /summarize.</w:t>
      </w:r>
    </w:p>
    <w:p>
      <w:pPr>
        <w:pStyle w:val="ListBullet"/>
        <w:spacing w:after="60" w:line="276" w:lineRule="auto"/>
      </w:pPr>
      <w:r>
        <w:rPr>
          <w:b/>
          <w:color w:val="0F172A"/>
          <w:sz w:val="20"/>
        </w:rPr>
        <w:t xml:space="preserve">4. Interactive Quiz Generator: </w:t>
      </w:r>
      <w:r>
        <w:rPr>
          <w:color w:val="1E293B"/>
          <w:sz w:val="20"/>
        </w:rPr>
        <w:t>Generates exactly 3 MCQs with 4 options each, validated against strict JSON schema, accompanied by real-time client-side grading and score calculation via POST /quiz.</w:t>
      </w:r>
    </w:p>
    <w:p>
      <w:pPr>
        <w:pStyle w:val="ListBullet"/>
        <w:spacing w:after="60" w:line="276" w:lineRule="auto"/>
      </w:pPr>
      <w:r>
        <w:rPr>
          <w:b/>
          <w:color w:val="0F172A"/>
          <w:sz w:val="20"/>
        </w:rPr>
        <w:t xml:space="preserve">5. Personalized Learning Paths: </w:t>
      </w:r>
      <w:r>
        <w:rPr>
          <w:color w:val="1E293B"/>
          <w:sz w:val="20"/>
        </w:rPr>
        <w:t>Produces 3-stage progressive roadmaps (Beginner -&gt; Intermediate -&gt; Advanced) with timeframes and curated resources via GET /learn/recommendations.</w:t>
      </w:r>
    </w:p>
    <w:p>
      <w:pPr>
        <w:keepNext/>
        <w:spacing w:before="320" w:after="120"/>
      </w:pPr>
      <w:r>
        <w:rPr>
          <w:b/>
          <w:color w:val="1E1B4B"/>
          <w:sz w:val="32"/>
        </w:rPr>
        <w:t>Chapter 2: Literature &amp; Technology Review</w:t>
      </w:r>
    </w:p>
    <w:p>
      <w:pPr>
        <w:keepNext/>
        <w:spacing w:before="240" w:after="80"/>
      </w:pPr>
      <w:r>
        <w:rPr>
          <w:b/>
          <w:color w:val="4F46E5"/>
          <w:sz w:val="26"/>
        </w:rPr>
        <w:t>2.1 Generative AI in Modern Pedagogy</w:t>
      </w:r>
    </w:p>
    <w:p>
      <w:pPr>
        <w:spacing w:after="80" w:line="276" w:lineRule="auto"/>
      </w:pPr>
      <w:r>
        <w:rPr>
          <w:i w:val="0"/>
          <w:color w:val="1E293B"/>
          <w:sz w:val="20"/>
        </w:rPr>
        <w:t>Recent empirical studies in educational technology demonstrate that active recall and immediate feedback improve long-term student retention by over 40% compared to passive reading. Foundation models like Google Gemini exhibit strong contextual comprehension and logical reasoning, making them ideal for curriculum design, question synthesis, and automated summarization.</w:t>
      </w:r>
    </w:p>
    <w:p>
      <w:pPr>
        <w:keepNext/>
        <w:spacing w:before="240" w:after="80"/>
      </w:pPr>
      <w:r>
        <w:rPr>
          <w:b/>
          <w:color w:val="4F46E5"/>
          <w:sz w:val="26"/>
        </w:rPr>
        <w:t>2.2 Evaluation of LLM Architectures</w:t>
      </w:r>
    </w:p>
    <w:p>
      <w:pPr>
        <w:spacing w:after="80" w:line="276" w:lineRule="auto"/>
      </w:pPr>
      <w:r>
        <w:rPr>
          <w:i w:val="0"/>
          <w:color w:val="1E293B"/>
          <w:sz w:val="20"/>
        </w:rPr>
        <w:t>EduGenie utilizes Google Gemini (gemini-1.5-flash and gemini-1.5-pro) through the modern google-genai SDK. Gemini Flash provides sub-second latency with low computational overhead, while Gemini Pro delivers deep multi-step reasoning. For edge environments with no external cloud connectivity, EduGenie incorporates an optional local pipeline utilizing the instruction-tuned MBZUAI/LaMini-Flan-T5-783M model (Transformers + PyTorch), ensuring that foundational explanations can run on local CPU hardware.</w:t>
      </w:r>
    </w:p>
    <w:p>
      <w:pPr>
        <w:keepNext/>
        <w:spacing w:before="320" w:after="120"/>
      </w:pPr>
      <w:r>
        <w:rPr>
          <w:b/>
          <w:color w:val="1E1B4B"/>
          <w:sz w:val="32"/>
        </w:rPr>
        <w:t>Chapter 3: Problem Statement &amp; Objectives</w:t>
      </w:r>
    </w:p>
    <w:p>
      <w:pPr>
        <w:keepNext/>
        <w:spacing w:before="240" w:after="80"/>
      </w:pPr>
      <w:r>
        <w:rPr>
          <w:b/>
          <w:color w:val="4F46E5"/>
          <w:sz w:val="26"/>
        </w:rPr>
        <w:t>3.1 Problem Definition</w:t>
      </w:r>
    </w:p>
    <w:p>
      <w:pPr>
        <w:spacing w:after="80" w:line="276" w:lineRule="auto"/>
      </w:pPr>
      <w:r>
        <w:rPr>
          <w:i w:val="0"/>
          <w:color w:val="1E293B"/>
          <w:sz w:val="20"/>
        </w:rPr>
        <w:t>Students across secondary and higher education face significant hurdles: 1) Abstract concepts in STEM are taught without intuitive analogies, 2) Students lack automated self-quizzing tools to verify retention, 3) Textbook passages are excessively long for quick revision, and 4) Existing commercial AI tools suffer from quota rate-limiting (HTTP 429) and catastrophic failure when offline.</w:t>
      </w:r>
    </w:p>
    <w:p>
      <w:pPr>
        <w:keepNext/>
        <w:spacing w:before="240" w:after="80"/>
      </w:pPr>
      <w:r>
        <w:rPr>
          <w:b/>
          <w:color w:val="4F46E5"/>
          <w:sz w:val="26"/>
        </w:rPr>
        <w:t>3.2 Measurable Project Objectives</w:t>
      </w:r>
    </w:p>
    <w:p>
      <w:pPr>
        <w:pStyle w:val="ListBullet"/>
        <w:spacing w:after="60" w:line="276" w:lineRule="auto"/>
      </w:pPr>
      <w:r>
        <w:rPr>
          <w:b/>
          <w:color w:val="0F172A"/>
          <w:sz w:val="20"/>
        </w:rPr>
        <w:t xml:space="preserve">Objective 1: </w:t>
      </w:r>
      <w:r>
        <w:rPr>
          <w:color w:val="1E293B"/>
          <w:sz w:val="20"/>
        </w:rPr>
        <w:t>Build an asynchronous, production-grade RESTful backend using FastAPI and Uvicorn.</w:t>
      </w:r>
    </w:p>
    <w:p>
      <w:pPr>
        <w:pStyle w:val="ListBullet"/>
        <w:spacing w:after="60" w:line="276" w:lineRule="auto"/>
      </w:pPr>
      <w:r>
        <w:rPr>
          <w:b/>
          <w:color w:val="0F172A"/>
          <w:sz w:val="20"/>
        </w:rPr>
        <w:t xml:space="preserve">Objective 2: </w:t>
      </w:r>
      <w:r>
        <w:rPr>
          <w:color w:val="1E293B"/>
          <w:sz w:val="20"/>
        </w:rPr>
        <w:t>Develop an interactive, responsive glassmorphism web interface supporting 5 educational feature cards.</w:t>
      </w:r>
    </w:p>
    <w:p>
      <w:pPr>
        <w:pStyle w:val="ListBullet"/>
        <w:spacing w:after="60" w:line="276" w:lineRule="auto"/>
      </w:pPr>
      <w:r>
        <w:rPr>
          <w:b/>
          <w:color w:val="0F172A"/>
          <w:sz w:val="20"/>
        </w:rPr>
        <w:t xml:space="preserve">Objective 3: </w:t>
      </w:r>
      <w:r>
        <w:rPr>
          <w:color w:val="1E293B"/>
          <w:sz w:val="20"/>
        </w:rPr>
        <w:t>Engineer robust prompt templates and strict JSON validation pipelines for MCQ generation.</w:t>
      </w:r>
    </w:p>
    <w:p>
      <w:pPr>
        <w:pStyle w:val="ListBullet"/>
        <w:spacing w:after="60" w:line="276" w:lineRule="auto"/>
      </w:pPr>
      <w:r>
        <w:rPr>
          <w:b/>
          <w:color w:val="0F172A"/>
          <w:sz w:val="20"/>
        </w:rPr>
        <w:t xml:space="preserve">Objective 4: </w:t>
      </w:r>
      <w:r>
        <w:rPr>
          <w:color w:val="1E293B"/>
          <w:sz w:val="20"/>
        </w:rPr>
        <w:t>Implement a fault-tolerant deterministic offline fallback generator ensuring 100% demo uptime.</w:t>
      </w:r>
    </w:p>
    <w:p>
      <w:pPr>
        <w:pStyle w:val="ListBullet"/>
        <w:spacing w:after="60" w:line="276" w:lineRule="auto"/>
      </w:pPr>
      <w:r>
        <w:rPr>
          <w:b/>
          <w:color w:val="0F172A"/>
          <w:sz w:val="20"/>
        </w:rPr>
        <w:t xml:space="preserve">Objective 5: </w:t>
      </w:r>
      <w:r>
        <w:rPr>
          <w:color w:val="1E293B"/>
          <w:sz w:val="20"/>
        </w:rPr>
        <w:t>Validate system reliability through &gt;= 35 automated pytest test cases and Playwright automated visual testing.</w:t>
      </w:r>
    </w:p>
    <w:p>
      <w:pPr>
        <w:keepNext/>
        <w:spacing w:before="320" w:after="120"/>
      </w:pPr>
      <w:r>
        <w:rPr>
          <w:b/>
          <w:color w:val="1E1B4B"/>
          <w:sz w:val="32"/>
        </w:rPr>
        <w:t>Chapter 4: System Analysis &amp; Requirements</w:t>
      </w:r>
    </w:p>
    <w:p>
      <w:pPr>
        <w:keepNext/>
        <w:spacing w:before="240" w:after="80"/>
      </w:pPr>
      <w:r>
        <w:rPr>
          <w:b/>
          <w:color w:val="4F46E5"/>
          <w:sz w:val="26"/>
        </w:rPr>
        <w:t>4.1 Functional Requirements Matrix</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296"/>
            <w:shd w:fill="1E1B4B"/>
            <w:tcMar>
              <w:top w:w="120" w:type="dxa"/>
              <w:bottom w:w="120" w:type="dxa"/>
              <w:left w:w="150" w:type="dxa"/>
              <w:right w:w="150" w:type="dxa"/>
            </w:tcMar>
          </w:tcPr>
          <w:p>
            <w:pPr>
              <w:jc w:val="center"/>
            </w:pPr>
            <w:r>
              <w:rPr>
                <w:rFonts w:ascii="Calibri" w:hAnsi="Calibri"/>
                <w:b/>
                <w:color w:val="FFFFFF"/>
                <w:sz w:val="19"/>
              </w:rPr>
              <w:t>Req ID</w:t>
            </w:r>
          </w:p>
        </w:tc>
        <w:tc>
          <w:tcPr>
            <w:tcW w:type="dxa" w:w="1728"/>
            <w:shd w:fill="1E1B4B"/>
            <w:tcMar>
              <w:top w:w="120" w:type="dxa"/>
              <w:bottom w:w="120" w:type="dxa"/>
              <w:left w:w="150" w:type="dxa"/>
              <w:right w:w="150" w:type="dxa"/>
            </w:tcMar>
          </w:tcPr>
          <w:p>
            <w:pPr>
              <w:jc w:val="center"/>
            </w:pPr>
            <w:r>
              <w:rPr>
                <w:rFonts w:ascii="Calibri" w:hAnsi="Calibri"/>
                <w:b/>
                <w:color w:val="FFFFFF"/>
                <w:sz w:val="19"/>
              </w:rPr>
              <w:t>Module</w:t>
            </w:r>
          </w:p>
        </w:tc>
        <w:tc>
          <w:tcPr>
            <w:tcW w:type="dxa" w:w="3888"/>
            <w:shd w:fill="1E1B4B"/>
            <w:tcMar>
              <w:top w:w="120" w:type="dxa"/>
              <w:bottom w:w="120" w:type="dxa"/>
              <w:left w:w="150" w:type="dxa"/>
              <w:right w:w="150" w:type="dxa"/>
            </w:tcMar>
          </w:tcPr>
          <w:p>
            <w:pPr>
              <w:jc w:val="center"/>
            </w:pPr>
            <w:r>
              <w:rPr>
                <w:rFonts w:ascii="Calibri" w:hAnsi="Calibri"/>
                <w:b/>
                <w:color w:val="FFFFFF"/>
                <w:sz w:val="19"/>
              </w:rPr>
              <w:t>Description</w:t>
            </w:r>
          </w:p>
        </w:tc>
        <w:tc>
          <w:tcPr>
            <w:tcW w:type="dxa" w:w="1296"/>
            <w:shd w:fill="1E1B4B"/>
            <w:tcMar>
              <w:top w:w="120" w:type="dxa"/>
              <w:bottom w:w="120" w:type="dxa"/>
              <w:left w:w="150" w:type="dxa"/>
              <w:right w:w="150" w:type="dxa"/>
            </w:tcMar>
          </w:tcPr>
          <w:p>
            <w:pPr>
              <w:jc w:val="center"/>
            </w:pPr>
            <w:r>
              <w:rPr>
                <w:rFonts w:ascii="Calibri" w:hAnsi="Calibri"/>
                <w:b/>
                <w:color w:val="FFFFFF"/>
                <w:sz w:val="19"/>
              </w:rPr>
              <w:t>Priority</w:t>
            </w:r>
          </w:p>
        </w:tc>
        <w:tc>
          <w:tcPr>
            <w:tcW w:type="dxa" w:w="1584"/>
            <w:shd w:fill="1E1B4B"/>
            <w:tcMar>
              <w:top w:w="120" w:type="dxa"/>
              <w:bottom w:w="120" w:type="dxa"/>
              <w:left w:w="150" w:type="dxa"/>
              <w:right w:w="150" w:type="dxa"/>
            </w:tcMar>
          </w:tcPr>
          <w:p>
            <w:pPr>
              <w:jc w:val="center"/>
            </w:pPr>
            <w:r>
              <w:rPr>
                <w:rFonts w:ascii="Calibri" w:hAnsi="Calibri"/>
                <w:b/>
                <w:color w:val="FFFFFF"/>
                <w:sz w:val="19"/>
              </w:rPr>
              <w:t>Target Route</w:t>
            </w:r>
          </w:p>
        </w:tc>
      </w:tr>
      <w:tr>
        <w:tc>
          <w:tcPr>
            <w:tcW w:type="dxa" w:w="1296"/>
            <w:shd w:fill="FFFFFF"/>
            <w:tcMar>
              <w:top w:w="80" w:type="dxa"/>
              <w:bottom w:w="80" w:type="dxa"/>
              <w:left w:w="120" w:type="dxa"/>
              <w:right w:w="120" w:type="dxa"/>
            </w:tcMar>
          </w:tcPr>
          <w:p>
            <w:pPr>
              <w:spacing w:line="264" w:lineRule="auto" w:after="40"/>
              <w:jc w:val="center"/>
            </w:pPr>
            <w:r>
              <w:rPr>
                <w:rFonts w:ascii="Calibri" w:hAnsi="Calibri"/>
                <w:color w:val="0F172A"/>
                <w:sz w:val="18"/>
              </w:rPr>
              <w:t>FR-01</w:t>
            </w:r>
          </w:p>
        </w:tc>
        <w:tc>
          <w:tcPr>
            <w:tcW w:type="dxa" w:w="1728"/>
            <w:shd w:fill="FFFFFF"/>
            <w:tcMar>
              <w:top w:w="80" w:type="dxa"/>
              <w:bottom w:w="80" w:type="dxa"/>
              <w:left w:w="120" w:type="dxa"/>
              <w:right w:w="120" w:type="dxa"/>
            </w:tcMar>
          </w:tcPr>
          <w:p>
            <w:pPr>
              <w:spacing w:line="264" w:lineRule="auto" w:after="40"/>
            </w:pPr>
            <w:r>
              <w:rPr>
                <w:rFonts w:ascii="Calibri" w:hAnsi="Calibri"/>
                <w:color w:val="0F172A"/>
                <w:sz w:val="18"/>
              </w:rPr>
              <w:t>QnA</w:t>
            </w:r>
          </w:p>
        </w:tc>
        <w:tc>
          <w:tcPr>
            <w:tcW w:type="dxa" w:w="3888"/>
            <w:shd w:fill="FFFFFF"/>
            <w:tcMar>
              <w:top w:w="80" w:type="dxa"/>
              <w:bottom w:w="80" w:type="dxa"/>
              <w:left w:w="120" w:type="dxa"/>
              <w:right w:w="120" w:type="dxa"/>
            </w:tcMar>
          </w:tcPr>
          <w:p>
            <w:pPr>
              <w:spacing w:line="264" w:lineRule="auto" w:after="40"/>
            </w:pPr>
            <w:r>
              <w:rPr>
                <w:rFonts w:ascii="Calibri" w:hAnsi="Calibri"/>
                <w:color w:val="0F172A"/>
                <w:sz w:val="18"/>
              </w:rPr>
              <w:t>Deliver concise, factual answers to academic queries</w:t>
            </w:r>
          </w:p>
        </w:tc>
        <w:tc>
          <w:tcPr>
            <w:tcW w:type="dxa" w:w="1296"/>
            <w:shd w:fill="FFFFFF"/>
            <w:tcMar>
              <w:top w:w="80" w:type="dxa"/>
              <w:bottom w:w="80" w:type="dxa"/>
              <w:left w:w="120" w:type="dxa"/>
              <w:right w:w="120" w:type="dxa"/>
            </w:tcMar>
          </w:tcPr>
          <w:p>
            <w:pPr>
              <w:spacing w:line="264" w:lineRule="auto" w:after="40"/>
              <w:jc w:val="center"/>
            </w:pPr>
            <w:r>
              <w:rPr>
                <w:rFonts w:ascii="Calibri" w:hAnsi="Calibri"/>
                <w:b/>
                <w:color w:val="0F172A"/>
                <w:sz w:val="18"/>
              </w:rPr>
              <w:t>High</w:t>
            </w:r>
          </w:p>
        </w:tc>
        <w:tc>
          <w:tcPr>
            <w:tcW w:type="dxa" w:w="1584"/>
            <w:shd w:fill="FFFFFF"/>
            <w:tcMar>
              <w:top w:w="80" w:type="dxa"/>
              <w:bottom w:w="80" w:type="dxa"/>
              <w:left w:w="120" w:type="dxa"/>
              <w:right w:w="120" w:type="dxa"/>
            </w:tcMar>
          </w:tcPr>
          <w:p>
            <w:pPr>
              <w:spacing w:line="264" w:lineRule="auto" w:after="40"/>
            </w:pPr>
            <w:r>
              <w:rPr>
                <w:rFonts w:ascii="Calibri" w:hAnsi="Calibri"/>
                <w:color w:val="0F172A"/>
                <w:sz w:val="18"/>
              </w:rPr>
              <w:t>GET /qa</w:t>
            </w:r>
          </w:p>
        </w:tc>
      </w:tr>
      <w:tr>
        <w:tc>
          <w:tcPr>
            <w:tcW w:type="dxa" w:w="1296"/>
            <w:shd w:fill="F8FAFC"/>
            <w:tcMar>
              <w:top w:w="80" w:type="dxa"/>
              <w:bottom w:w="80" w:type="dxa"/>
              <w:left w:w="120" w:type="dxa"/>
              <w:right w:w="120" w:type="dxa"/>
            </w:tcMar>
          </w:tcPr>
          <w:p>
            <w:pPr>
              <w:spacing w:line="264" w:lineRule="auto" w:after="40"/>
              <w:jc w:val="center"/>
            </w:pPr>
            <w:r>
              <w:rPr>
                <w:rFonts w:ascii="Calibri" w:hAnsi="Calibri"/>
                <w:color w:val="0F172A"/>
                <w:sz w:val="18"/>
              </w:rPr>
              <w:t>FR-02</w:t>
            </w:r>
          </w:p>
        </w:tc>
        <w:tc>
          <w:tcPr>
            <w:tcW w:type="dxa" w:w="1728"/>
            <w:shd w:fill="F8FAFC"/>
            <w:tcMar>
              <w:top w:w="80" w:type="dxa"/>
              <w:bottom w:w="80" w:type="dxa"/>
              <w:left w:w="120" w:type="dxa"/>
              <w:right w:w="120" w:type="dxa"/>
            </w:tcMar>
          </w:tcPr>
          <w:p>
            <w:pPr>
              <w:spacing w:line="264" w:lineRule="auto" w:after="40"/>
            </w:pPr>
            <w:r>
              <w:rPr>
                <w:rFonts w:ascii="Calibri" w:hAnsi="Calibri"/>
                <w:color w:val="0F172A"/>
                <w:sz w:val="18"/>
              </w:rPr>
              <w:t>Explainer</w:t>
            </w:r>
          </w:p>
        </w:tc>
        <w:tc>
          <w:tcPr>
            <w:tcW w:type="dxa" w:w="3888"/>
            <w:shd w:fill="F8FAFC"/>
            <w:tcMar>
              <w:top w:w="80" w:type="dxa"/>
              <w:bottom w:w="80" w:type="dxa"/>
              <w:left w:w="120" w:type="dxa"/>
              <w:right w:w="120" w:type="dxa"/>
            </w:tcMar>
          </w:tcPr>
          <w:p>
            <w:pPr>
              <w:spacing w:line="264" w:lineRule="auto" w:after="40"/>
            </w:pPr>
            <w:r>
              <w:rPr>
                <w:rFonts w:ascii="Calibri" w:hAnsi="Calibri"/>
                <w:color w:val="0F172A"/>
                <w:sz w:val="18"/>
              </w:rPr>
              <w:t>Simplify concepts with student analogies</w:t>
            </w:r>
          </w:p>
        </w:tc>
        <w:tc>
          <w:tcPr>
            <w:tcW w:type="dxa" w:w="1296"/>
            <w:shd w:fill="F8FAFC"/>
            <w:tcMar>
              <w:top w:w="80" w:type="dxa"/>
              <w:bottom w:w="80" w:type="dxa"/>
              <w:left w:w="120" w:type="dxa"/>
              <w:right w:w="120" w:type="dxa"/>
            </w:tcMar>
          </w:tcPr>
          <w:p>
            <w:pPr>
              <w:spacing w:line="264" w:lineRule="auto" w:after="40"/>
              <w:jc w:val="center"/>
            </w:pPr>
            <w:r>
              <w:rPr>
                <w:rFonts w:ascii="Calibri" w:hAnsi="Calibri"/>
                <w:b/>
                <w:color w:val="0F172A"/>
                <w:sz w:val="18"/>
              </w:rPr>
              <w:t>High</w:t>
            </w:r>
          </w:p>
        </w:tc>
        <w:tc>
          <w:tcPr>
            <w:tcW w:type="dxa" w:w="1584"/>
            <w:shd w:fill="F8FAFC"/>
            <w:tcMar>
              <w:top w:w="80" w:type="dxa"/>
              <w:bottom w:w="80" w:type="dxa"/>
              <w:left w:w="120" w:type="dxa"/>
              <w:right w:w="120" w:type="dxa"/>
            </w:tcMar>
          </w:tcPr>
          <w:p>
            <w:pPr>
              <w:spacing w:line="264" w:lineRule="auto" w:after="40"/>
            </w:pPr>
            <w:r>
              <w:rPr>
                <w:rFonts w:ascii="Calibri" w:hAnsi="Calibri"/>
                <w:color w:val="0F172A"/>
                <w:sz w:val="18"/>
              </w:rPr>
              <w:t>POST /explain</w:t>
            </w:r>
          </w:p>
        </w:tc>
      </w:tr>
      <w:tr>
        <w:tc>
          <w:tcPr>
            <w:tcW w:type="dxa" w:w="1296"/>
            <w:shd w:fill="FFFFFF"/>
            <w:tcMar>
              <w:top w:w="80" w:type="dxa"/>
              <w:bottom w:w="80" w:type="dxa"/>
              <w:left w:w="120" w:type="dxa"/>
              <w:right w:w="120" w:type="dxa"/>
            </w:tcMar>
          </w:tcPr>
          <w:p>
            <w:pPr>
              <w:spacing w:line="264" w:lineRule="auto" w:after="40"/>
              <w:jc w:val="center"/>
            </w:pPr>
            <w:r>
              <w:rPr>
                <w:rFonts w:ascii="Calibri" w:hAnsi="Calibri"/>
                <w:color w:val="0F172A"/>
                <w:sz w:val="18"/>
              </w:rPr>
              <w:t>FR-03</w:t>
            </w:r>
          </w:p>
        </w:tc>
        <w:tc>
          <w:tcPr>
            <w:tcW w:type="dxa" w:w="1728"/>
            <w:shd w:fill="FFFFFF"/>
            <w:tcMar>
              <w:top w:w="80" w:type="dxa"/>
              <w:bottom w:w="80" w:type="dxa"/>
              <w:left w:w="120" w:type="dxa"/>
              <w:right w:w="120" w:type="dxa"/>
            </w:tcMar>
          </w:tcPr>
          <w:p>
            <w:pPr>
              <w:spacing w:line="264" w:lineRule="auto" w:after="40"/>
            </w:pPr>
            <w:r>
              <w:rPr>
                <w:rFonts w:ascii="Calibri" w:hAnsi="Calibri"/>
                <w:color w:val="0F172A"/>
                <w:sz w:val="18"/>
              </w:rPr>
              <w:t>AI Dual Engine</w:t>
            </w:r>
          </w:p>
        </w:tc>
        <w:tc>
          <w:tcPr>
            <w:tcW w:type="dxa" w:w="3888"/>
            <w:shd w:fill="FFFFFF"/>
            <w:tcMar>
              <w:top w:w="80" w:type="dxa"/>
              <w:bottom w:w="80" w:type="dxa"/>
              <w:left w:w="120" w:type="dxa"/>
              <w:right w:w="120" w:type="dxa"/>
            </w:tcMar>
          </w:tcPr>
          <w:p>
            <w:pPr>
              <w:spacing w:line="264" w:lineRule="auto" w:after="40"/>
            </w:pPr>
            <w:r>
              <w:rPr>
                <w:rFonts w:ascii="Calibri" w:hAnsi="Calibri"/>
                <w:color w:val="0F172A"/>
                <w:sz w:val="18"/>
              </w:rPr>
              <w:t>Support cloud Gemini and local LaMini-Flan-T5 models</w:t>
            </w:r>
          </w:p>
        </w:tc>
        <w:tc>
          <w:tcPr>
            <w:tcW w:type="dxa" w:w="1296"/>
            <w:shd w:fill="FFFFFF"/>
            <w:tcMar>
              <w:top w:w="80" w:type="dxa"/>
              <w:bottom w:w="80" w:type="dxa"/>
              <w:left w:w="120" w:type="dxa"/>
              <w:right w:w="120" w:type="dxa"/>
            </w:tcMar>
          </w:tcPr>
          <w:p>
            <w:pPr>
              <w:spacing w:line="264" w:lineRule="auto" w:after="40"/>
              <w:jc w:val="center"/>
            </w:pPr>
            <w:r>
              <w:rPr>
                <w:rFonts w:ascii="Calibri" w:hAnsi="Calibri"/>
                <w:b/>
                <w:color w:val="0F172A"/>
                <w:sz w:val="18"/>
              </w:rPr>
              <w:t>High</w:t>
            </w:r>
          </w:p>
        </w:tc>
        <w:tc>
          <w:tcPr>
            <w:tcW w:type="dxa" w:w="1584"/>
            <w:shd w:fill="FFFFFF"/>
            <w:tcMar>
              <w:top w:w="80" w:type="dxa"/>
              <w:bottom w:w="80" w:type="dxa"/>
              <w:left w:w="120" w:type="dxa"/>
              <w:right w:w="120" w:type="dxa"/>
            </w:tcMar>
          </w:tcPr>
          <w:p>
            <w:pPr>
              <w:spacing w:line="264" w:lineRule="auto" w:after="40"/>
            </w:pPr>
            <w:r>
              <w:rPr>
                <w:rFonts w:ascii="Calibri" w:hAnsi="Calibri"/>
                <w:color w:val="0F172A"/>
                <w:sz w:val="18"/>
              </w:rPr>
              <w:t>POST /explain</w:t>
            </w:r>
          </w:p>
        </w:tc>
      </w:tr>
      <w:tr>
        <w:tc>
          <w:tcPr>
            <w:tcW w:type="dxa" w:w="1296"/>
            <w:shd w:fill="F8FAFC"/>
            <w:tcMar>
              <w:top w:w="80" w:type="dxa"/>
              <w:bottom w:w="80" w:type="dxa"/>
              <w:left w:w="120" w:type="dxa"/>
              <w:right w:w="120" w:type="dxa"/>
            </w:tcMar>
          </w:tcPr>
          <w:p>
            <w:pPr>
              <w:spacing w:line="264" w:lineRule="auto" w:after="40"/>
              <w:jc w:val="center"/>
            </w:pPr>
            <w:r>
              <w:rPr>
                <w:rFonts w:ascii="Calibri" w:hAnsi="Calibri"/>
                <w:color w:val="0F172A"/>
                <w:sz w:val="18"/>
              </w:rPr>
              <w:t>FR-04</w:t>
            </w:r>
          </w:p>
        </w:tc>
        <w:tc>
          <w:tcPr>
            <w:tcW w:type="dxa" w:w="1728"/>
            <w:shd w:fill="F8FAFC"/>
            <w:tcMar>
              <w:top w:w="80" w:type="dxa"/>
              <w:bottom w:w="80" w:type="dxa"/>
              <w:left w:w="120" w:type="dxa"/>
              <w:right w:w="120" w:type="dxa"/>
            </w:tcMar>
          </w:tcPr>
          <w:p>
            <w:pPr>
              <w:spacing w:line="264" w:lineRule="auto" w:after="40"/>
            </w:pPr>
            <w:r>
              <w:rPr>
                <w:rFonts w:ascii="Calibri" w:hAnsi="Calibri"/>
                <w:color w:val="0F172A"/>
                <w:sz w:val="18"/>
              </w:rPr>
              <w:t>Quiz Module</w:t>
            </w:r>
          </w:p>
        </w:tc>
        <w:tc>
          <w:tcPr>
            <w:tcW w:type="dxa" w:w="3888"/>
            <w:shd w:fill="F8FAFC"/>
            <w:tcMar>
              <w:top w:w="80" w:type="dxa"/>
              <w:bottom w:w="80" w:type="dxa"/>
              <w:left w:w="120" w:type="dxa"/>
              <w:right w:w="120" w:type="dxa"/>
            </w:tcMar>
          </w:tcPr>
          <w:p>
            <w:pPr>
              <w:spacing w:line="264" w:lineRule="auto" w:after="40"/>
            </w:pPr>
            <w:r>
              <w:rPr>
                <w:rFonts w:ascii="Calibri" w:hAnsi="Calibri"/>
                <w:color w:val="0F172A"/>
                <w:sz w:val="18"/>
              </w:rPr>
              <w:t>Generate 3 MCQs (4 options each) in strict JSON format</w:t>
            </w:r>
          </w:p>
        </w:tc>
        <w:tc>
          <w:tcPr>
            <w:tcW w:type="dxa" w:w="1296"/>
            <w:shd w:fill="F8FAFC"/>
            <w:tcMar>
              <w:top w:w="80" w:type="dxa"/>
              <w:bottom w:w="80" w:type="dxa"/>
              <w:left w:w="120" w:type="dxa"/>
              <w:right w:w="120" w:type="dxa"/>
            </w:tcMar>
          </w:tcPr>
          <w:p>
            <w:pPr>
              <w:spacing w:line="264" w:lineRule="auto" w:after="40"/>
              <w:jc w:val="center"/>
            </w:pPr>
            <w:r>
              <w:rPr>
                <w:rFonts w:ascii="Calibri" w:hAnsi="Calibri"/>
                <w:b/>
                <w:color w:val="0F172A"/>
                <w:sz w:val="18"/>
              </w:rPr>
              <w:t>High</w:t>
            </w:r>
          </w:p>
        </w:tc>
        <w:tc>
          <w:tcPr>
            <w:tcW w:type="dxa" w:w="1584"/>
            <w:shd w:fill="F8FAFC"/>
            <w:tcMar>
              <w:top w:w="80" w:type="dxa"/>
              <w:bottom w:w="80" w:type="dxa"/>
              <w:left w:w="120" w:type="dxa"/>
              <w:right w:w="120" w:type="dxa"/>
            </w:tcMar>
          </w:tcPr>
          <w:p>
            <w:pPr>
              <w:spacing w:line="264" w:lineRule="auto" w:after="40"/>
            </w:pPr>
            <w:r>
              <w:rPr>
                <w:rFonts w:ascii="Calibri" w:hAnsi="Calibri"/>
                <w:color w:val="0F172A"/>
                <w:sz w:val="18"/>
              </w:rPr>
              <w:t>POST /quiz</w:t>
            </w:r>
          </w:p>
        </w:tc>
      </w:tr>
      <w:tr>
        <w:tc>
          <w:tcPr>
            <w:tcW w:type="dxa" w:w="1296"/>
            <w:shd w:fill="FFFFFF"/>
            <w:tcMar>
              <w:top w:w="80" w:type="dxa"/>
              <w:bottom w:w="80" w:type="dxa"/>
              <w:left w:w="120" w:type="dxa"/>
              <w:right w:w="120" w:type="dxa"/>
            </w:tcMar>
          </w:tcPr>
          <w:p>
            <w:pPr>
              <w:spacing w:line="264" w:lineRule="auto" w:after="40"/>
              <w:jc w:val="center"/>
            </w:pPr>
            <w:r>
              <w:rPr>
                <w:rFonts w:ascii="Calibri" w:hAnsi="Calibri"/>
                <w:color w:val="0F172A"/>
                <w:sz w:val="18"/>
              </w:rPr>
              <w:t>FR-05</w:t>
            </w:r>
          </w:p>
        </w:tc>
        <w:tc>
          <w:tcPr>
            <w:tcW w:type="dxa" w:w="1728"/>
            <w:shd w:fill="FFFFFF"/>
            <w:tcMar>
              <w:top w:w="80" w:type="dxa"/>
              <w:bottom w:w="80" w:type="dxa"/>
              <w:left w:w="120" w:type="dxa"/>
              <w:right w:w="120" w:type="dxa"/>
            </w:tcMar>
          </w:tcPr>
          <w:p>
            <w:pPr>
              <w:spacing w:line="264" w:lineRule="auto" w:after="40"/>
            </w:pPr>
            <w:r>
              <w:rPr>
                <w:rFonts w:ascii="Calibri" w:hAnsi="Calibri"/>
                <w:color w:val="0F172A"/>
                <w:sz w:val="18"/>
              </w:rPr>
              <w:t>Interactive Grader</w:t>
            </w:r>
          </w:p>
        </w:tc>
        <w:tc>
          <w:tcPr>
            <w:tcW w:type="dxa" w:w="3888"/>
            <w:shd w:fill="FFFFFF"/>
            <w:tcMar>
              <w:top w:w="80" w:type="dxa"/>
              <w:bottom w:w="80" w:type="dxa"/>
              <w:left w:w="120" w:type="dxa"/>
              <w:right w:w="120" w:type="dxa"/>
            </w:tcMar>
          </w:tcPr>
          <w:p>
            <w:pPr>
              <w:spacing w:line="264" w:lineRule="auto" w:after="40"/>
            </w:pPr>
            <w:r>
              <w:rPr>
                <w:rFonts w:ascii="Calibri" w:hAnsi="Calibri"/>
                <w:color w:val="0F172A"/>
                <w:sz w:val="18"/>
              </w:rPr>
              <w:t>Real-time client-side grading, green/red feedback &amp; score</w:t>
            </w:r>
          </w:p>
        </w:tc>
        <w:tc>
          <w:tcPr>
            <w:tcW w:type="dxa" w:w="1296"/>
            <w:shd w:fill="FFFFFF"/>
            <w:tcMar>
              <w:top w:w="80" w:type="dxa"/>
              <w:bottom w:w="80" w:type="dxa"/>
              <w:left w:w="120" w:type="dxa"/>
              <w:right w:w="120" w:type="dxa"/>
            </w:tcMar>
          </w:tcPr>
          <w:p>
            <w:pPr>
              <w:spacing w:line="264" w:lineRule="auto" w:after="40"/>
              <w:jc w:val="center"/>
            </w:pPr>
            <w:r>
              <w:rPr>
                <w:rFonts w:ascii="Calibri" w:hAnsi="Calibri"/>
                <w:b/>
                <w:color w:val="0F172A"/>
                <w:sz w:val="18"/>
              </w:rPr>
              <w:t>High</w:t>
            </w:r>
          </w:p>
        </w:tc>
        <w:tc>
          <w:tcPr>
            <w:tcW w:type="dxa" w:w="1584"/>
            <w:shd w:fill="FFFFFF"/>
            <w:tcMar>
              <w:top w:w="80" w:type="dxa"/>
              <w:bottom w:w="80" w:type="dxa"/>
              <w:left w:w="120" w:type="dxa"/>
              <w:right w:w="120" w:type="dxa"/>
            </w:tcMar>
          </w:tcPr>
          <w:p>
            <w:pPr>
              <w:spacing w:line="264" w:lineRule="auto" w:after="40"/>
            </w:pPr>
            <w:r>
              <w:rPr>
                <w:rFonts w:ascii="Calibri" w:hAnsi="Calibri"/>
                <w:color w:val="0F172A"/>
                <w:sz w:val="18"/>
              </w:rPr>
              <w:t>static/app.js</w:t>
            </w:r>
          </w:p>
        </w:tc>
      </w:tr>
      <w:tr>
        <w:tc>
          <w:tcPr>
            <w:tcW w:type="dxa" w:w="1296"/>
            <w:shd w:fill="F8FAFC"/>
            <w:tcMar>
              <w:top w:w="80" w:type="dxa"/>
              <w:bottom w:w="80" w:type="dxa"/>
              <w:left w:w="120" w:type="dxa"/>
              <w:right w:w="120" w:type="dxa"/>
            </w:tcMar>
          </w:tcPr>
          <w:p>
            <w:pPr>
              <w:spacing w:line="264" w:lineRule="auto" w:after="40"/>
              <w:jc w:val="center"/>
            </w:pPr>
            <w:r>
              <w:rPr>
                <w:rFonts w:ascii="Calibri" w:hAnsi="Calibri"/>
                <w:color w:val="0F172A"/>
                <w:sz w:val="18"/>
              </w:rPr>
              <w:t>FR-06</w:t>
            </w:r>
          </w:p>
        </w:tc>
        <w:tc>
          <w:tcPr>
            <w:tcW w:type="dxa" w:w="1728"/>
            <w:shd w:fill="F8FAFC"/>
            <w:tcMar>
              <w:top w:w="80" w:type="dxa"/>
              <w:bottom w:w="80" w:type="dxa"/>
              <w:left w:w="120" w:type="dxa"/>
              <w:right w:w="120" w:type="dxa"/>
            </w:tcMar>
          </w:tcPr>
          <w:p>
            <w:pPr>
              <w:spacing w:line="264" w:lineRule="auto" w:after="40"/>
            </w:pPr>
            <w:r>
              <w:rPr>
                <w:rFonts w:ascii="Calibri" w:hAnsi="Calibri"/>
                <w:color w:val="0F172A"/>
                <w:sz w:val="18"/>
              </w:rPr>
              <w:t>Summarizer</w:t>
            </w:r>
          </w:p>
        </w:tc>
        <w:tc>
          <w:tcPr>
            <w:tcW w:type="dxa" w:w="3888"/>
            <w:shd w:fill="F8FAFC"/>
            <w:tcMar>
              <w:top w:w="80" w:type="dxa"/>
              <w:bottom w:w="80" w:type="dxa"/>
              <w:left w:w="120" w:type="dxa"/>
              <w:right w:w="120" w:type="dxa"/>
            </w:tcMar>
          </w:tcPr>
          <w:p>
            <w:pPr>
              <w:spacing w:line="264" w:lineRule="auto" w:after="40"/>
            </w:pPr>
            <w:r>
              <w:rPr>
                <w:rFonts w:ascii="Calibri" w:hAnsi="Calibri"/>
                <w:color w:val="0F172A"/>
                <w:sz w:val="18"/>
              </w:rPr>
              <w:t>Condense textbook passages into 4 bullet takeaways</w:t>
            </w:r>
          </w:p>
        </w:tc>
        <w:tc>
          <w:tcPr>
            <w:tcW w:type="dxa" w:w="1296"/>
            <w:shd w:fill="F8FAFC"/>
            <w:tcMar>
              <w:top w:w="80" w:type="dxa"/>
              <w:bottom w:w="80" w:type="dxa"/>
              <w:left w:w="120" w:type="dxa"/>
              <w:right w:w="120" w:type="dxa"/>
            </w:tcMar>
          </w:tcPr>
          <w:p>
            <w:pPr>
              <w:spacing w:line="264" w:lineRule="auto" w:after="40"/>
              <w:jc w:val="center"/>
            </w:pPr>
            <w:r>
              <w:rPr>
                <w:rFonts w:ascii="Calibri" w:hAnsi="Calibri"/>
                <w:b/>
                <w:color w:val="0F172A"/>
                <w:sz w:val="18"/>
              </w:rPr>
              <w:t>High</w:t>
            </w:r>
          </w:p>
        </w:tc>
        <w:tc>
          <w:tcPr>
            <w:tcW w:type="dxa" w:w="1584"/>
            <w:shd w:fill="F8FAFC"/>
            <w:tcMar>
              <w:top w:w="80" w:type="dxa"/>
              <w:bottom w:w="80" w:type="dxa"/>
              <w:left w:w="120" w:type="dxa"/>
              <w:right w:w="120" w:type="dxa"/>
            </w:tcMar>
          </w:tcPr>
          <w:p>
            <w:pPr>
              <w:spacing w:line="264" w:lineRule="auto" w:after="40"/>
            </w:pPr>
            <w:r>
              <w:rPr>
                <w:rFonts w:ascii="Calibri" w:hAnsi="Calibri"/>
                <w:color w:val="0F172A"/>
                <w:sz w:val="18"/>
              </w:rPr>
              <w:t>POST /summarize</w:t>
            </w:r>
          </w:p>
        </w:tc>
      </w:tr>
      <w:tr>
        <w:tc>
          <w:tcPr>
            <w:tcW w:type="dxa" w:w="1296"/>
            <w:shd w:fill="FFFFFF"/>
            <w:tcMar>
              <w:top w:w="80" w:type="dxa"/>
              <w:bottom w:w="80" w:type="dxa"/>
              <w:left w:w="120" w:type="dxa"/>
              <w:right w:w="120" w:type="dxa"/>
            </w:tcMar>
          </w:tcPr>
          <w:p>
            <w:pPr>
              <w:spacing w:line="264" w:lineRule="auto" w:after="40"/>
              <w:jc w:val="center"/>
            </w:pPr>
            <w:r>
              <w:rPr>
                <w:rFonts w:ascii="Calibri" w:hAnsi="Calibri"/>
                <w:color w:val="0F172A"/>
                <w:sz w:val="18"/>
              </w:rPr>
              <w:t>FR-07</w:t>
            </w:r>
          </w:p>
        </w:tc>
        <w:tc>
          <w:tcPr>
            <w:tcW w:type="dxa" w:w="1728"/>
            <w:shd w:fill="FFFFFF"/>
            <w:tcMar>
              <w:top w:w="80" w:type="dxa"/>
              <w:bottom w:w="80" w:type="dxa"/>
              <w:left w:w="120" w:type="dxa"/>
              <w:right w:w="120" w:type="dxa"/>
            </w:tcMar>
          </w:tcPr>
          <w:p>
            <w:pPr>
              <w:spacing w:line="264" w:lineRule="auto" w:after="40"/>
            </w:pPr>
            <w:r>
              <w:rPr>
                <w:rFonts w:ascii="Calibri" w:hAnsi="Calibri"/>
                <w:color w:val="0F172A"/>
                <w:sz w:val="18"/>
              </w:rPr>
              <w:t>Learning Path</w:t>
            </w:r>
          </w:p>
        </w:tc>
        <w:tc>
          <w:tcPr>
            <w:tcW w:type="dxa" w:w="3888"/>
            <w:shd w:fill="FFFFFF"/>
            <w:tcMar>
              <w:top w:w="80" w:type="dxa"/>
              <w:bottom w:w="80" w:type="dxa"/>
              <w:left w:w="120" w:type="dxa"/>
              <w:right w:w="120" w:type="dxa"/>
            </w:tcMar>
          </w:tcPr>
          <w:p>
            <w:pPr>
              <w:spacing w:line="264" w:lineRule="auto" w:after="40"/>
            </w:pPr>
            <w:r>
              <w:rPr>
                <w:rFonts w:ascii="Calibri" w:hAnsi="Calibri"/>
                <w:color w:val="0F172A"/>
                <w:sz w:val="18"/>
              </w:rPr>
              <w:t>Generate 3-stage milestone roadmaps (Weeks 1-6)</w:t>
            </w:r>
          </w:p>
        </w:tc>
        <w:tc>
          <w:tcPr>
            <w:tcW w:type="dxa" w:w="1296"/>
            <w:shd w:fill="FFFFFF"/>
            <w:tcMar>
              <w:top w:w="80" w:type="dxa"/>
              <w:bottom w:w="80" w:type="dxa"/>
              <w:left w:w="120" w:type="dxa"/>
              <w:right w:w="120" w:type="dxa"/>
            </w:tcMar>
          </w:tcPr>
          <w:p>
            <w:pPr>
              <w:spacing w:line="264" w:lineRule="auto" w:after="40"/>
              <w:jc w:val="center"/>
            </w:pPr>
            <w:r>
              <w:rPr>
                <w:rFonts w:ascii="Calibri" w:hAnsi="Calibri"/>
                <w:b/>
                <w:color w:val="0F172A"/>
                <w:sz w:val="18"/>
              </w:rPr>
              <w:t>High</w:t>
            </w:r>
          </w:p>
        </w:tc>
        <w:tc>
          <w:tcPr>
            <w:tcW w:type="dxa" w:w="1584"/>
            <w:shd w:fill="FFFFFF"/>
            <w:tcMar>
              <w:top w:w="80" w:type="dxa"/>
              <w:bottom w:w="80" w:type="dxa"/>
              <w:left w:w="120" w:type="dxa"/>
              <w:right w:w="120" w:type="dxa"/>
            </w:tcMar>
          </w:tcPr>
          <w:p>
            <w:pPr>
              <w:spacing w:line="264" w:lineRule="auto" w:after="40"/>
            </w:pPr>
            <w:r>
              <w:rPr>
                <w:rFonts w:ascii="Calibri" w:hAnsi="Calibri"/>
                <w:color w:val="0F172A"/>
                <w:sz w:val="18"/>
              </w:rPr>
              <w:t>GET /learn</w:t>
            </w:r>
          </w:p>
        </w:tc>
      </w:tr>
      <w:tr>
        <w:tc>
          <w:tcPr>
            <w:tcW w:type="dxa" w:w="1296"/>
            <w:shd w:fill="F8FAFC"/>
            <w:tcMar>
              <w:top w:w="80" w:type="dxa"/>
              <w:bottom w:w="80" w:type="dxa"/>
              <w:left w:w="120" w:type="dxa"/>
              <w:right w:w="120" w:type="dxa"/>
            </w:tcMar>
          </w:tcPr>
          <w:p>
            <w:pPr>
              <w:spacing w:line="264" w:lineRule="auto" w:after="40"/>
              <w:jc w:val="center"/>
            </w:pPr>
            <w:r>
              <w:rPr>
                <w:rFonts w:ascii="Calibri" w:hAnsi="Calibri"/>
                <w:color w:val="0F172A"/>
                <w:sz w:val="18"/>
              </w:rPr>
              <w:t>FR-08</w:t>
            </w:r>
          </w:p>
        </w:tc>
        <w:tc>
          <w:tcPr>
            <w:tcW w:type="dxa" w:w="1728"/>
            <w:shd w:fill="F8FAFC"/>
            <w:tcMar>
              <w:top w:w="80" w:type="dxa"/>
              <w:bottom w:w="80" w:type="dxa"/>
              <w:left w:w="120" w:type="dxa"/>
              <w:right w:w="120" w:type="dxa"/>
            </w:tcMar>
          </w:tcPr>
          <w:p>
            <w:pPr>
              <w:spacing w:line="264" w:lineRule="auto" w:after="40"/>
            </w:pPr>
            <w:r>
              <w:rPr>
                <w:rFonts w:ascii="Calibri" w:hAnsi="Calibri"/>
                <w:color w:val="0F172A"/>
                <w:sz w:val="18"/>
              </w:rPr>
              <w:t>Health &amp; Fallback</w:t>
            </w:r>
          </w:p>
        </w:tc>
        <w:tc>
          <w:tcPr>
            <w:tcW w:type="dxa" w:w="3888"/>
            <w:shd w:fill="F8FAFC"/>
            <w:tcMar>
              <w:top w:w="80" w:type="dxa"/>
              <w:bottom w:w="80" w:type="dxa"/>
              <w:left w:w="120" w:type="dxa"/>
              <w:right w:w="120" w:type="dxa"/>
            </w:tcMar>
          </w:tcPr>
          <w:p>
            <w:pPr>
              <w:spacing w:line="264" w:lineRule="auto" w:after="40"/>
            </w:pPr>
            <w:r>
              <w:rPr>
                <w:rFonts w:ascii="Calibri" w:hAnsi="Calibri"/>
                <w:color w:val="0F172A"/>
                <w:sz w:val="18"/>
              </w:rPr>
              <w:t>System liveness monitoring and deterministic fallback</w:t>
            </w:r>
          </w:p>
        </w:tc>
        <w:tc>
          <w:tcPr>
            <w:tcW w:type="dxa" w:w="1296"/>
            <w:shd w:fill="F8FAFC"/>
            <w:tcMar>
              <w:top w:w="80" w:type="dxa"/>
              <w:bottom w:w="80" w:type="dxa"/>
              <w:left w:w="120" w:type="dxa"/>
              <w:right w:w="120" w:type="dxa"/>
            </w:tcMar>
          </w:tcPr>
          <w:p>
            <w:pPr>
              <w:spacing w:line="264" w:lineRule="auto" w:after="40"/>
              <w:jc w:val="center"/>
            </w:pPr>
            <w:r>
              <w:rPr>
                <w:rFonts w:ascii="Calibri" w:hAnsi="Calibri"/>
                <w:b/>
                <w:color w:val="0F172A"/>
                <w:sz w:val="18"/>
              </w:rPr>
              <w:t>High</w:t>
            </w:r>
          </w:p>
        </w:tc>
        <w:tc>
          <w:tcPr>
            <w:tcW w:type="dxa" w:w="1584"/>
            <w:shd w:fill="F8FAFC"/>
            <w:tcMar>
              <w:top w:w="80" w:type="dxa"/>
              <w:bottom w:w="80" w:type="dxa"/>
              <w:left w:w="120" w:type="dxa"/>
              <w:right w:w="120" w:type="dxa"/>
            </w:tcMar>
          </w:tcPr>
          <w:p>
            <w:pPr>
              <w:spacing w:line="264" w:lineRule="auto" w:after="40"/>
            </w:pPr>
            <w:r>
              <w:rPr>
                <w:rFonts w:ascii="Calibri" w:hAnsi="Calibri"/>
                <w:color w:val="0F172A"/>
                <w:sz w:val="18"/>
              </w:rPr>
              <w:t>GET /health</w:t>
            </w:r>
          </w:p>
        </w:tc>
      </w:tr>
    </w:tbl>
    <w:p>
      <w:pPr>
        <w:spacing w:after="80"/>
      </w:pPr>
    </w:p>
    <w:p>
      <w:pPr>
        <w:keepNext/>
        <w:spacing w:before="240" w:after="80"/>
      </w:pPr>
      <w:r>
        <w:rPr>
          <w:b/>
          <w:color w:val="4F46E5"/>
          <w:sz w:val="26"/>
        </w:rPr>
        <w:t>4.2 Non-Functional Requirements (NFRs)</w:t>
      </w:r>
    </w:p>
    <w:p>
      <w:pPr>
        <w:pStyle w:val="ListBullet"/>
        <w:spacing w:after="60" w:line="276" w:lineRule="auto"/>
      </w:pPr>
      <w:r>
        <w:rPr>
          <w:b/>
          <w:color w:val="0F172A"/>
          <w:sz w:val="20"/>
        </w:rPr>
        <w:t xml:space="preserve">Performance: </w:t>
      </w:r>
      <w:r>
        <w:rPr>
          <w:color w:val="1E293B"/>
          <w:sz w:val="20"/>
        </w:rPr>
        <w:t>Sub-second response latency (&lt; 100ms in demo mode, &lt; 1.5s in live mode).</w:t>
      </w:r>
    </w:p>
    <w:p>
      <w:pPr>
        <w:pStyle w:val="ListBullet"/>
        <w:spacing w:after="60" w:line="276" w:lineRule="auto"/>
      </w:pPr>
      <w:r>
        <w:rPr>
          <w:b/>
          <w:color w:val="0F172A"/>
          <w:sz w:val="20"/>
        </w:rPr>
        <w:t xml:space="preserve">Usability: </w:t>
      </w:r>
      <w:r>
        <w:rPr>
          <w:color w:val="1E293B"/>
          <w:sz w:val="20"/>
        </w:rPr>
        <w:t>Responsive CSS layout tested across desktop (1366x768) and mobile (390x844) viewports.</w:t>
      </w:r>
    </w:p>
    <w:p>
      <w:pPr>
        <w:pStyle w:val="ListBullet"/>
        <w:spacing w:after="60" w:line="276" w:lineRule="auto"/>
      </w:pPr>
      <w:r>
        <w:rPr>
          <w:b/>
          <w:color w:val="0F172A"/>
          <w:sz w:val="20"/>
        </w:rPr>
        <w:t xml:space="preserve">Security: </w:t>
      </w:r>
      <w:r>
        <w:rPr>
          <w:color w:val="1E293B"/>
          <w:sz w:val="20"/>
        </w:rPr>
        <w:t>Zero hard-coded secrets; API keys managed strictly via environment variables (.env.example).</w:t>
      </w:r>
    </w:p>
    <w:p>
      <w:pPr>
        <w:pStyle w:val="ListBullet"/>
        <w:spacing w:after="60" w:line="276" w:lineRule="auto"/>
      </w:pPr>
      <w:r>
        <w:rPr>
          <w:b/>
          <w:color w:val="0F172A"/>
          <w:sz w:val="20"/>
        </w:rPr>
        <w:t xml:space="preserve">Reliability: </w:t>
      </w:r>
      <w:r>
        <w:rPr>
          <w:color w:val="1E293B"/>
          <w:sz w:val="20"/>
        </w:rPr>
        <w:t>Zero downtime; automatic fallback to deterministic generators on API failure.</w:t>
      </w:r>
    </w:p>
    <w:p>
      <w:r>
        <w:br w:type="page"/>
      </w:r>
    </w:p>
    <w:p>
      <w:pPr>
        <w:keepNext/>
        <w:spacing w:before="320" w:after="120"/>
      </w:pPr>
      <w:r>
        <w:rPr>
          <w:b/>
          <w:color w:val="1E1B4B"/>
          <w:sz w:val="32"/>
        </w:rPr>
        <w:t>Chapter 5: System Architecture &amp; Design</w:t>
      </w:r>
    </w:p>
    <w:p>
      <w:pPr>
        <w:keepNext/>
        <w:spacing w:before="240" w:after="80"/>
      </w:pPr>
      <w:r>
        <w:rPr>
          <w:b/>
          <w:color w:val="4F46E5"/>
          <w:sz w:val="26"/>
        </w:rPr>
        <w:t>5.1 System Architecture Diagram</w:t>
      </w:r>
    </w:p>
    <w:p>
      <w:pPr>
        <w:spacing w:before="160" w:after="80"/>
        <w:jc w:val="center"/>
      </w:pPr>
      <w:r>
        <w:drawing>
          <wp:inline xmlns:a="http://schemas.openxmlformats.org/drawingml/2006/main" xmlns:pic="http://schemas.openxmlformats.org/drawingml/2006/picture">
            <wp:extent cx="5303520" cy="3297987"/>
            <wp:docPr id="2" name="Picture 2"/>
            <wp:cNvGraphicFramePr>
              <a:graphicFrameLocks noChangeAspect="1"/>
            </wp:cNvGraphicFramePr>
            <a:graphic>
              <a:graphicData uri="http://schemas.openxmlformats.org/drawingml/2006/picture">
                <pic:pic>
                  <pic:nvPicPr>
                    <pic:cNvPr id="0" name="01_system_architecture.png"/>
                    <pic:cNvPicPr/>
                  </pic:nvPicPr>
                  <pic:blipFill>
                    <a:blip r:embed="rId12"/>
                    <a:stretch>
                      <a:fillRect/>
                    </a:stretch>
                  </pic:blipFill>
                  <pic:spPr>
                    <a:xfrm>
                      <a:off x="0" y="0"/>
                      <a:ext cx="5303520" cy="3297987"/>
                    </a:xfrm>
                    <a:prstGeom prst="rect"/>
                  </pic:spPr>
                </pic:pic>
              </a:graphicData>
            </a:graphic>
          </wp:inline>
        </w:drawing>
      </w:r>
    </w:p>
    <w:p>
      <w:pPr>
        <w:spacing w:after="160"/>
        <w:jc w:val="center"/>
      </w:pPr>
      <w:r>
        <w:rPr>
          <w:i/>
          <w:color w:val="64748B"/>
          <w:sz w:val="17"/>
        </w:rPr>
        <w:t>Figure 5.1: EduGenie Three-Tier System Architecture Diagram</w:t>
      </w:r>
    </w:p>
    <w:p>
      <w:pPr>
        <w:spacing w:after="80" w:line="276" w:lineRule="auto"/>
      </w:pPr>
      <w:r>
        <w:rPr>
          <w:i w:val="0"/>
          <w:color w:val="1E293B"/>
          <w:sz w:val="20"/>
        </w:rPr>
        <w:t>As depicted in Figure 5.1, EduGenie is architected as a modular three-tier client-server system. The client layer provides interactive forms and real-time DOM rendering. The application layer leverages FastAPI ASGI routing with asynchronous request processing. The inference tier dynamically routes queries between cloud Google Gemini models, local HuggingFace pipelines, and deterministic offline generators.</w:t>
      </w:r>
    </w:p>
    <w:p>
      <w:pPr>
        <w:keepNext/>
        <w:spacing w:before="240" w:after="80"/>
      </w:pPr>
      <w:r>
        <w:rPr>
          <w:b/>
          <w:color w:val="4F46E5"/>
          <w:sz w:val="26"/>
        </w:rPr>
        <w:t>5.2 End-to-End Workflow Flowchart</w:t>
      </w:r>
    </w:p>
    <w:p>
      <w:pPr>
        <w:spacing w:before="160" w:after="80"/>
        <w:jc w:val="center"/>
      </w:pPr>
      <w:r>
        <w:drawing>
          <wp:inline xmlns:a="http://schemas.openxmlformats.org/drawingml/2006/main" xmlns:pic="http://schemas.openxmlformats.org/drawingml/2006/picture">
            <wp:extent cx="5029200" cy="4013200"/>
            <wp:docPr id="3" name="Picture 3"/>
            <wp:cNvGraphicFramePr>
              <a:graphicFrameLocks noChangeAspect="1"/>
            </wp:cNvGraphicFramePr>
            <a:graphic>
              <a:graphicData uri="http://schemas.openxmlformats.org/drawingml/2006/picture">
                <pic:pic>
                  <pic:nvPicPr>
                    <pic:cNvPr id="0" name="02_workflow_flowchart.png"/>
                    <pic:cNvPicPr/>
                  </pic:nvPicPr>
                  <pic:blipFill>
                    <a:blip r:embed="rId13"/>
                    <a:stretch>
                      <a:fillRect/>
                    </a:stretch>
                  </pic:blipFill>
                  <pic:spPr>
                    <a:xfrm>
                      <a:off x="0" y="0"/>
                      <a:ext cx="5029200" cy="4013200"/>
                    </a:xfrm>
                    <a:prstGeom prst="rect"/>
                  </pic:spPr>
                </pic:pic>
              </a:graphicData>
            </a:graphic>
          </wp:inline>
        </w:drawing>
      </w:r>
    </w:p>
    <w:p>
      <w:pPr>
        <w:spacing w:after="160"/>
        <w:jc w:val="center"/>
      </w:pPr>
      <w:r>
        <w:rPr>
          <w:i/>
          <w:color w:val="64748B"/>
          <w:sz w:val="17"/>
        </w:rPr>
        <w:t>Figure 5.2: End-to-End System Workflow Flowchart</w:t>
      </w:r>
    </w:p>
    <w:p>
      <w:pPr>
        <w:spacing w:after="80" w:line="276" w:lineRule="auto"/>
      </w:pPr>
      <w:r>
        <w:rPr>
          <w:i w:val="0"/>
          <w:color w:val="1E293B"/>
          <w:sz w:val="20"/>
        </w:rPr>
        <w:t>Figure 5.2 outlines the sequential flow of data from user submission through Pydantic input sanitization, model selection, markdown/JSON response cleaning, and client rendering.</w:t>
      </w:r>
    </w:p>
    <w:p>
      <w:pPr>
        <w:keepNext/>
        <w:spacing w:before="240" w:after="80"/>
      </w:pPr>
      <w:r>
        <w:rPr>
          <w:b/>
          <w:color w:val="4F46E5"/>
          <w:sz w:val="26"/>
        </w:rPr>
        <w:t>5.3 Data Flow Diagrams (Level 0 &amp; Level 1)</w:t>
      </w:r>
    </w:p>
    <w:p>
      <w:pPr>
        <w:spacing w:before="160" w:after="80"/>
        <w:jc w:val="center"/>
      </w:pPr>
      <w:r>
        <w:drawing>
          <wp:inline xmlns:a="http://schemas.openxmlformats.org/drawingml/2006/main" xmlns:pic="http://schemas.openxmlformats.org/drawingml/2006/picture">
            <wp:extent cx="5303520" cy="4087116"/>
            <wp:docPr id="4" name="Picture 4"/>
            <wp:cNvGraphicFramePr>
              <a:graphicFrameLocks noChangeAspect="1"/>
            </wp:cNvGraphicFramePr>
            <a:graphic>
              <a:graphicData uri="http://schemas.openxmlformats.org/drawingml/2006/picture">
                <pic:pic>
                  <pic:nvPicPr>
                    <pic:cNvPr id="0" name="03_data_flow_diagram.png"/>
                    <pic:cNvPicPr/>
                  </pic:nvPicPr>
                  <pic:blipFill>
                    <a:blip r:embed="rId14"/>
                    <a:stretch>
                      <a:fillRect/>
                    </a:stretch>
                  </pic:blipFill>
                  <pic:spPr>
                    <a:xfrm>
                      <a:off x="0" y="0"/>
                      <a:ext cx="5303520" cy="4087116"/>
                    </a:xfrm>
                    <a:prstGeom prst="rect"/>
                  </pic:spPr>
                </pic:pic>
              </a:graphicData>
            </a:graphic>
          </wp:inline>
        </w:drawing>
      </w:r>
    </w:p>
    <w:p>
      <w:pPr>
        <w:spacing w:after="160"/>
        <w:jc w:val="center"/>
      </w:pPr>
      <w:r>
        <w:rPr>
          <w:i/>
          <w:color w:val="64748B"/>
          <w:sz w:val="17"/>
        </w:rPr>
        <w:t>Figure 5.3: Data Flow Diagrams (Level 0 Context and Level 1 Functional Decomposition)</w:t>
      </w:r>
    </w:p>
    <w:p>
      <w:pPr>
        <w:spacing w:after="80" w:line="276" w:lineRule="auto"/>
      </w:pPr>
      <w:r>
        <w:rPr>
          <w:i w:val="0"/>
          <w:color w:val="1E293B"/>
          <w:sz w:val="20"/>
        </w:rPr>
        <w:t>Figure 5.3 models data movement across system boundaries. Level 0 defines external interactions, while Level 1 breaks down the internal pipeline into five modular sub-processes.</w:t>
      </w:r>
    </w:p>
    <w:p>
      <w:pPr>
        <w:keepNext/>
        <w:spacing w:before="240" w:after="80"/>
      </w:pPr>
      <w:r>
        <w:rPr>
          <w:b/>
          <w:color w:val="4F46E5"/>
          <w:sz w:val="26"/>
        </w:rPr>
        <w:t>5.4 System Use Case Diagram</w:t>
      </w:r>
    </w:p>
    <w:p>
      <w:pPr>
        <w:spacing w:before="160" w:after="80"/>
        <w:jc w:val="center"/>
      </w:pPr>
      <w:r>
        <w:drawing>
          <wp:inline xmlns:a="http://schemas.openxmlformats.org/drawingml/2006/main" xmlns:pic="http://schemas.openxmlformats.org/drawingml/2006/picture">
            <wp:extent cx="5029200" cy="3759200"/>
            <wp:docPr id="5" name="Picture 5"/>
            <wp:cNvGraphicFramePr>
              <a:graphicFrameLocks noChangeAspect="1"/>
            </wp:cNvGraphicFramePr>
            <a:graphic>
              <a:graphicData uri="http://schemas.openxmlformats.org/drawingml/2006/picture">
                <pic:pic>
                  <pic:nvPicPr>
                    <pic:cNvPr id="0" name="04_use_case_diagram.png"/>
                    <pic:cNvPicPr/>
                  </pic:nvPicPr>
                  <pic:blipFill>
                    <a:blip r:embed="rId15"/>
                    <a:stretch>
                      <a:fillRect/>
                    </a:stretch>
                  </pic:blipFill>
                  <pic:spPr>
                    <a:xfrm>
                      <a:off x="0" y="0"/>
                      <a:ext cx="5029200" cy="3759200"/>
                    </a:xfrm>
                    <a:prstGeom prst="rect"/>
                  </pic:spPr>
                </pic:pic>
              </a:graphicData>
            </a:graphic>
          </wp:inline>
        </w:drawing>
      </w:r>
    </w:p>
    <w:p>
      <w:pPr>
        <w:spacing w:after="160"/>
        <w:jc w:val="center"/>
      </w:pPr>
      <w:r>
        <w:rPr>
          <w:i/>
          <w:color w:val="64748B"/>
          <w:sz w:val="17"/>
        </w:rPr>
        <w:t>Figure 5.4: System Use Case Diagram Illustrating Primary Actor Capabilities</w:t>
      </w:r>
    </w:p>
    <w:p>
      <w:pPr>
        <w:keepNext/>
        <w:spacing w:before="240" w:after="80"/>
      </w:pPr>
      <w:r>
        <w:rPr>
          <w:b/>
          <w:color w:val="4F46E5"/>
          <w:sz w:val="26"/>
        </w:rPr>
        <w:t>5.5 AI Prompt Generation &amp; Strict Validation Pipeline</w:t>
      </w:r>
    </w:p>
    <w:p>
      <w:pPr>
        <w:spacing w:before="160" w:after="80"/>
        <w:jc w:val="center"/>
      </w:pPr>
      <w:r>
        <w:drawing>
          <wp:inline xmlns:a="http://schemas.openxmlformats.org/drawingml/2006/main" xmlns:pic="http://schemas.openxmlformats.org/drawingml/2006/picture">
            <wp:extent cx="5303520" cy="3600555"/>
            <wp:docPr id="6" name="Picture 6"/>
            <wp:cNvGraphicFramePr>
              <a:graphicFrameLocks noChangeAspect="1"/>
            </wp:cNvGraphicFramePr>
            <a:graphic>
              <a:graphicData uri="http://schemas.openxmlformats.org/drawingml/2006/picture">
                <pic:pic>
                  <pic:nvPicPr>
                    <pic:cNvPr id="0" name="05_ai_generation_flow.png"/>
                    <pic:cNvPicPr/>
                  </pic:nvPicPr>
                  <pic:blipFill>
                    <a:blip r:embed="rId16"/>
                    <a:stretch>
                      <a:fillRect/>
                    </a:stretch>
                  </pic:blipFill>
                  <pic:spPr>
                    <a:xfrm>
                      <a:off x="0" y="0"/>
                      <a:ext cx="5303520" cy="3600555"/>
                    </a:xfrm>
                    <a:prstGeom prst="rect"/>
                  </pic:spPr>
                </pic:pic>
              </a:graphicData>
            </a:graphic>
          </wp:inline>
        </w:drawing>
      </w:r>
    </w:p>
    <w:p>
      <w:pPr>
        <w:spacing w:after="160"/>
        <w:jc w:val="center"/>
      </w:pPr>
      <w:r>
        <w:rPr>
          <w:i/>
          <w:color w:val="64748B"/>
          <w:sz w:val="17"/>
        </w:rPr>
        <w:t>Figure 5.5: AI Prompt Generation, Inference, and Strict JSON Schema Validation Pipeline</w:t>
      </w:r>
    </w:p>
    <w:p>
      <w:pPr>
        <w:keepNext/>
        <w:spacing w:before="240" w:after="80"/>
      </w:pPr>
      <w:r>
        <w:rPr>
          <w:b/>
          <w:color w:val="4F46E5"/>
          <w:sz w:val="26"/>
        </w:rPr>
        <w:t>5.6 Fault-Tolerant Fallback Architecture</w:t>
      </w:r>
    </w:p>
    <w:p>
      <w:pPr>
        <w:spacing w:before="160" w:after="80"/>
        <w:jc w:val="center"/>
      </w:pPr>
      <w:r>
        <w:drawing>
          <wp:inline xmlns:a="http://schemas.openxmlformats.org/drawingml/2006/main" xmlns:pic="http://schemas.openxmlformats.org/drawingml/2006/picture">
            <wp:extent cx="5303520" cy="3600555"/>
            <wp:docPr id="7" name="Picture 7"/>
            <wp:cNvGraphicFramePr>
              <a:graphicFrameLocks noChangeAspect="1"/>
            </wp:cNvGraphicFramePr>
            <a:graphic>
              <a:graphicData uri="http://schemas.openxmlformats.org/drawingml/2006/picture">
                <pic:pic>
                  <pic:nvPicPr>
                    <pic:cNvPr id="0" name="06_fallback_flow.png"/>
                    <pic:cNvPicPr/>
                  </pic:nvPicPr>
                  <pic:blipFill>
                    <a:blip r:embed="rId17"/>
                    <a:stretch>
                      <a:fillRect/>
                    </a:stretch>
                  </pic:blipFill>
                  <pic:spPr>
                    <a:xfrm>
                      <a:off x="0" y="0"/>
                      <a:ext cx="5303520" cy="3600555"/>
                    </a:xfrm>
                    <a:prstGeom prst="rect"/>
                  </pic:spPr>
                </pic:pic>
              </a:graphicData>
            </a:graphic>
          </wp:inline>
        </w:drawing>
      </w:r>
    </w:p>
    <w:p>
      <w:pPr>
        <w:spacing w:after="160"/>
        <w:jc w:val="center"/>
      </w:pPr>
      <w:r>
        <w:rPr>
          <w:i/>
          <w:color w:val="64748B"/>
          <w:sz w:val="17"/>
        </w:rPr>
        <w:t>Figure 5.6: Fault-Tolerant Fallback &amp; Graceful Degradation Architecture</w:t>
      </w:r>
    </w:p>
    <w:p>
      <w:r>
        <w:br w:type="page"/>
      </w:r>
    </w:p>
    <w:p>
      <w:pPr>
        <w:keepNext/>
        <w:spacing w:before="320" w:after="120"/>
      </w:pPr>
      <w:r>
        <w:rPr>
          <w:b/>
          <w:color w:val="1E1B4B"/>
          <w:sz w:val="32"/>
        </w:rPr>
        <w:t>Chapter 6: Implementation &amp; Development</w:t>
      </w:r>
    </w:p>
    <w:p>
      <w:pPr>
        <w:keepNext/>
        <w:spacing w:before="240" w:after="80"/>
      </w:pPr>
      <w:r>
        <w:rPr>
          <w:b/>
          <w:color w:val="4F46E5"/>
          <w:sz w:val="26"/>
        </w:rPr>
        <w:t>6.1 Backend API Implementation (FastAPI)</w:t>
      </w:r>
    </w:p>
    <w:p>
      <w:pPr>
        <w:spacing w:after="80" w:line="276" w:lineRule="auto"/>
      </w:pPr>
      <w:r>
        <w:rPr>
          <w:i w:val="0"/>
          <w:color w:val="1E293B"/>
          <w:sz w:val="20"/>
        </w:rPr>
        <w:t>FastAPI handles routing and validation across all seven endpoints. Below is an excerpt of the core application routes:</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180" w:type="dxa"/>
              <w:right w:w="180" w:type="dxa"/>
            </w:tcMar>
          </w:tcPr>
          <w:p>
            <w:pPr>
              <w:spacing w:line="276" w:lineRule="auto"/>
            </w:pPr>
            <w:r>
              <w:rPr>
                <w:b/>
                <w:color w:val="4F46E5"/>
                <w:sz w:val="20"/>
              </w:rPr>
              <w:t>📌 FASTAPI ROUTE DEFINITIONS</w:t>
              <w:br/>
            </w:r>
            <w:r>
              <w:rPr>
                <w:color w:val="1E1B4B"/>
                <w:sz w:val="19"/>
              </w:rPr>
              <w:t>@app.get('/qa', summary='Smart Question Answering')</w:t>
              <w:br/>
              <w:t>async def handle_qa(question: str = Query(..., min_length=1)):</w:t>
              <w:br/>
              <w:t xml:space="preserve">    result = answer_question(question)</w:t>
              <w:br/>
              <w:t xml:space="preserve">    return JSONResponse(content=result, status_code=200)</w:t>
              <w:br/>
              <w:br/>
              <w:t>@app.post('/quiz', summary='Interactive Quiz Generator')</w:t>
              <w:br/>
              <w:t>async def handle_quiz(payload: QuizRequest):</w:t>
              <w:br/>
              <w:t xml:space="preserve">    input_content = payload.text or payload.topic</w:t>
              <w:br/>
              <w:t xml:space="preserve">    result = generate_quiz(input_content)</w:t>
              <w:br/>
              <w:t xml:space="preserve">    return JSONResponse(content=result, status_code=200)</w:t>
            </w:r>
          </w:p>
        </w:tc>
      </w:tr>
    </w:tbl>
    <w:p>
      <w:pPr>
        <w:spacing w:after="80"/>
      </w:pPr>
    </w:p>
    <w:p>
      <w:pPr>
        <w:keepNext/>
        <w:spacing w:before="240" w:after="80"/>
      </w:pPr>
      <w:r>
        <w:rPr>
          <w:b/>
          <w:color w:val="4F46E5"/>
          <w:sz w:val="26"/>
        </w:rPr>
        <w:t>6.2 Real User Interface Screenshots</w:t>
      </w:r>
    </w:p>
    <w:p>
      <w:pPr>
        <w:spacing w:before="160" w:after="80"/>
        <w:jc w:val="center"/>
      </w:pPr>
      <w:r>
        <w:drawing>
          <wp:inline xmlns:a="http://schemas.openxmlformats.org/drawingml/2006/main" xmlns:pic="http://schemas.openxmlformats.org/drawingml/2006/picture">
            <wp:extent cx="5029200" cy="2827544"/>
            <wp:docPr id="8" name="Picture 8"/>
            <wp:cNvGraphicFramePr>
              <a:graphicFrameLocks noChangeAspect="1"/>
            </wp:cNvGraphicFramePr>
            <a:graphic>
              <a:graphicData uri="http://schemas.openxmlformats.org/drawingml/2006/picture">
                <pic:pic>
                  <pic:nvPicPr>
                    <pic:cNvPr id="0" name="02_qa_largest_ocean.png"/>
                    <pic:cNvPicPr/>
                  </pic:nvPicPr>
                  <pic:blipFill>
                    <a:blip r:embed="rId18"/>
                    <a:stretch>
                      <a:fillRect/>
                    </a:stretch>
                  </pic:blipFill>
                  <pic:spPr>
                    <a:xfrm>
                      <a:off x="0" y="0"/>
                      <a:ext cx="5029200" cy="2827544"/>
                    </a:xfrm>
                    <a:prstGeom prst="rect"/>
                  </pic:spPr>
                </pic:pic>
              </a:graphicData>
            </a:graphic>
          </wp:inline>
        </w:drawing>
      </w:r>
    </w:p>
    <w:p>
      <w:pPr>
        <w:spacing w:after="160"/>
        <w:jc w:val="center"/>
      </w:pPr>
      <w:r>
        <w:rPr>
          <w:i/>
          <w:color w:val="64748B"/>
          <w:sz w:val="17"/>
        </w:rPr>
        <w:t>Figure 6.1: Smart Q&amp;A Response for 'Which is the largest ocean?'</w:t>
      </w:r>
    </w:p>
    <w:p>
      <w:pPr>
        <w:spacing w:before="160" w:after="80"/>
        <w:jc w:val="center"/>
      </w:pPr>
      <w:r>
        <w:drawing>
          <wp:inline xmlns:a="http://schemas.openxmlformats.org/drawingml/2006/main" xmlns:pic="http://schemas.openxmlformats.org/drawingml/2006/picture">
            <wp:extent cx="5029200" cy="2827544"/>
            <wp:docPr id="9" name="Picture 9"/>
            <wp:cNvGraphicFramePr>
              <a:graphicFrameLocks noChangeAspect="1"/>
            </wp:cNvGraphicFramePr>
            <a:graphic>
              <a:graphicData uri="http://schemas.openxmlformats.org/drawingml/2006/picture">
                <pic:pic>
                  <pic:nvPicPr>
                    <pic:cNvPr id="0" name="04_explain_binary_search_local.png"/>
                    <pic:cNvPicPr/>
                  </pic:nvPicPr>
                  <pic:blipFill>
                    <a:blip r:embed="rId19"/>
                    <a:stretch>
                      <a:fillRect/>
                    </a:stretch>
                  </pic:blipFill>
                  <pic:spPr>
                    <a:xfrm>
                      <a:off x="0" y="0"/>
                      <a:ext cx="5029200" cy="2827544"/>
                    </a:xfrm>
                    <a:prstGeom prst="rect"/>
                  </pic:spPr>
                </pic:pic>
              </a:graphicData>
            </a:graphic>
          </wp:inline>
        </w:drawing>
      </w:r>
    </w:p>
    <w:p>
      <w:pPr>
        <w:spacing w:after="160"/>
        <w:jc w:val="center"/>
      </w:pPr>
      <w:r>
        <w:rPr>
          <w:i/>
          <w:color w:val="64748B"/>
          <w:sz w:val="17"/>
        </w:rPr>
        <w:t>Figure 6.2: Concept Explainer for Binary Search Algorithm using Local Backend Option</w:t>
      </w:r>
    </w:p>
    <w:p>
      <w:pPr>
        <w:spacing w:before="160" w:after="80"/>
        <w:jc w:val="center"/>
      </w:pPr>
      <w:r>
        <w:drawing>
          <wp:inline xmlns:a="http://schemas.openxmlformats.org/drawingml/2006/main" xmlns:pic="http://schemas.openxmlformats.org/drawingml/2006/picture">
            <wp:extent cx="5029200" cy="2827544"/>
            <wp:docPr id="10" name="Picture 10"/>
            <wp:cNvGraphicFramePr>
              <a:graphicFrameLocks noChangeAspect="1"/>
            </wp:cNvGraphicFramePr>
            <a:graphic>
              <a:graphicData uri="http://schemas.openxmlformats.org/drawingml/2006/picture">
                <pic:pic>
                  <pic:nvPicPr>
                    <pic:cNvPr id="0" name="06_quiz_pythagoras_generated.png"/>
                    <pic:cNvPicPr/>
                  </pic:nvPicPr>
                  <pic:blipFill>
                    <a:blip r:embed="rId20"/>
                    <a:stretch>
                      <a:fillRect/>
                    </a:stretch>
                  </pic:blipFill>
                  <pic:spPr>
                    <a:xfrm>
                      <a:off x="0" y="0"/>
                      <a:ext cx="5029200" cy="2827544"/>
                    </a:xfrm>
                    <a:prstGeom prst="rect"/>
                  </pic:spPr>
                </pic:pic>
              </a:graphicData>
            </a:graphic>
          </wp:inline>
        </w:drawing>
      </w:r>
    </w:p>
    <w:p>
      <w:pPr>
        <w:spacing w:after="160"/>
        <w:jc w:val="center"/>
      </w:pPr>
      <w:r>
        <w:rPr>
          <w:i/>
          <w:color w:val="64748B"/>
          <w:sz w:val="17"/>
        </w:rPr>
        <w:t>Figure 6.3: Interactive Quiz Generator Displaying 3 MCQs on Pythagoras Theorem</w:t>
      </w:r>
    </w:p>
    <w:p>
      <w:r>
        <w:br w:type="page"/>
      </w:r>
    </w:p>
    <w:p>
      <w:pPr>
        <w:keepNext/>
        <w:spacing w:before="320" w:after="120"/>
      </w:pPr>
      <w:r>
        <w:rPr>
          <w:b/>
          <w:color w:val="1E1B4B"/>
          <w:sz w:val="32"/>
        </w:rPr>
        <w:t>Chapter 7: Testing, Verification &amp; Results</w:t>
      </w:r>
    </w:p>
    <w:p>
      <w:pPr>
        <w:keepNext/>
        <w:spacing w:before="240" w:after="80"/>
      </w:pPr>
      <w:r>
        <w:rPr>
          <w:b/>
          <w:color w:val="4F46E5"/>
          <w:sz w:val="26"/>
        </w:rPr>
        <w:t>7.1 Automated Test Execution Metrics</w:t>
      </w:r>
    </w:p>
    <w:p>
      <w:pPr>
        <w:spacing w:after="80" w:line="276" w:lineRule="auto"/>
      </w:pPr>
      <w:r>
        <w:rPr>
          <w:i w:val="0"/>
          <w:color w:val="1E293B"/>
          <w:sz w:val="20"/>
        </w:rPr>
        <w:t>The automated test suite in pytest executed 37 test cases with 100% pass rate and 80% total codebase coverage: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168"/>
            <w:shd w:fill="1E1B4B"/>
            <w:tcMar>
              <w:top w:w="120" w:type="dxa"/>
              <w:bottom w:w="120" w:type="dxa"/>
              <w:left w:w="150" w:type="dxa"/>
              <w:right w:w="150" w:type="dxa"/>
            </w:tcMar>
          </w:tcPr>
          <w:p>
            <w:pPr>
              <w:jc w:val="center"/>
            </w:pPr>
            <w:r>
              <w:rPr>
                <w:rFonts w:ascii="Calibri" w:hAnsi="Calibri"/>
                <w:b/>
                <w:color w:val="FFFFFF"/>
                <w:sz w:val="19"/>
              </w:rPr>
              <w:t>Test Category</w:t>
            </w:r>
          </w:p>
        </w:tc>
        <w:tc>
          <w:tcPr>
            <w:tcW w:type="dxa" w:w="2016"/>
            <w:shd w:fill="1E1B4B"/>
            <w:tcMar>
              <w:top w:w="120" w:type="dxa"/>
              <w:bottom w:w="120" w:type="dxa"/>
              <w:left w:w="150" w:type="dxa"/>
              <w:right w:w="150" w:type="dxa"/>
            </w:tcMar>
          </w:tcPr>
          <w:p>
            <w:pPr>
              <w:jc w:val="center"/>
            </w:pPr>
            <w:r>
              <w:rPr>
                <w:rFonts w:ascii="Calibri" w:hAnsi="Calibri"/>
                <w:b/>
                <w:color w:val="FFFFFF"/>
                <w:sz w:val="19"/>
              </w:rPr>
              <w:t>Number of Tests</w:t>
            </w:r>
          </w:p>
        </w:tc>
        <w:tc>
          <w:tcPr>
            <w:tcW w:type="dxa" w:w="1440"/>
            <w:shd w:fill="1E1B4B"/>
            <w:tcMar>
              <w:top w:w="120" w:type="dxa"/>
              <w:bottom w:w="120" w:type="dxa"/>
              <w:left w:w="150" w:type="dxa"/>
              <w:right w:w="150" w:type="dxa"/>
            </w:tcMar>
          </w:tcPr>
          <w:p>
            <w:pPr>
              <w:jc w:val="center"/>
            </w:pPr>
            <w:r>
              <w:rPr>
                <w:rFonts w:ascii="Calibri" w:hAnsi="Calibri"/>
                <w:b/>
                <w:color w:val="FFFFFF"/>
                <w:sz w:val="19"/>
              </w:rPr>
              <w:t>Passed</w:t>
            </w:r>
          </w:p>
        </w:tc>
        <w:tc>
          <w:tcPr>
            <w:tcW w:type="dxa" w:w="1440"/>
            <w:shd w:fill="1E1B4B"/>
            <w:tcMar>
              <w:top w:w="120" w:type="dxa"/>
              <w:bottom w:w="120" w:type="dxa"/>
              <w:left w:w="150" w:type="dxa"/>
              <w:right w:w="150" w:type="dxa"/>
            </w:tcMar>
          </w:tcPr>
          <w:p>
            <w:pPr>
              <w:jc w:val="center"/>
            </w:pPr>
            <w:r>
              <w:rPr>
                <w:rFonts w:ascii="Calibri" w:hAnsi="Calibri"/>
                <w:b/>
                <w:color w:val="FFFFFF"/>
                <w:sz w:val="19"/>
              </w:rPr>
              <w:t>Failed</w:t>
            </w:r>
          </w:p>
        </w:tc>
        <w:tc>
          <w:tcPr>
            <w:tcW w:type="dxa" w:w="1728"/>
            <w:shd w:fill="1E1B4B"/>
            <w:tcMar>
              <w:top w:w="120" w:type="dxa"/>
              <w:bottom w:w="120" w:type="dxa"/>
              <w:left w:w="150" w:type="dxa"/>
              <w:right w:w="150" w:type="dxa"/>
            </w:tcMar>
          </w:tcPr>
          <w:p>
            <w:pPr>
              <w:jc w:val="center"/>
            </w:pPr>
            <w:r>
              <w:rPr>
                <w:rFonts w:ascii="Calibri" w:hAnsi="Calibri"/>
                <w:b/>
                <w:color w:val="FFFFFF"/>
                <w:sz w:val="19"/>
              </w:rPr>
              <w:t>Pass Rate (%)</w:t>
            </w:r>
          </w:p>
        </w:tc>
      </w:tr>
      <w:tr>
        <w:tc>
          <w:tcPr>
            <w:tcW w:type="dxa" w:w="3168"/>
            <w:shd w:fill="FFFFFF"/>
            <w:tcMar>
              <w:top w:w="80" w:type="dxa"/>
              <w:bottom w:w="80" w:type="dxa"/>
              <w:left w:w="120" w:type="dxa"/>
              <w:right w:w="120" w:type="dxa"/>
            </w:tcMar>
          </w:tcPr>
          <w:p>
            <w:pPr>
              <w:spacing w:line="264" w:lineRule="auto" w:after="40"/>
              <w:jc w:val="center"/>
            </w:pPr>
            <w:r>
              <w:rPr>
                <w:rFonts w:ascii="Calibri" w:hAnsi="Calibri"/>
                <w:color w:val="0F172A"/>
                <w:sz w:val="18"/>
              </w:rPr>
              <w:t>API &amp; Route Integration Tests</w:t>
            </w:r>
          </w:p>
        </w:tc>
        <w:tc>
          <w:tcPr>
            <w:tcW w:type="dxa" w:w="2016"/>
            <w:shd w:fill="FFFFFF"/>
            <w:tcMar>
              <w:top w:w="80" w:type="dxa"/>
              <w:bottom w:w="80" w:type="dxa"/>
              <w:left w:w="120" w:type="dxa"/>
              <w:right w:w="120" w:type="dxa"/>
            </w:tcMar>
          </w:tcPr>
          <w:p>
            <w:pPr>
              <w:spacing w:line="264" w:lineRule="auto" w:after="40"/>
            </w:pPr>
            <w:r>
              <w:rPr>
                <w:rFonts w:ascii="Calibri" w:hAnsi="Calibri"/>
                <w:color w:val="0F172A"/>
                <w:sz w:val="18"/>
              </w:rPr>
              <w:t>15 Tests</w:t>
            </w:r>
          </w:p>
        </w:tc>
        <w:tc>
          <w:tcPr>
            <w:tcW w:type="dxa" w:w="1440"/>
            <w:shd w:fill="FFFFFF"/>
            <w:tcMar>
              <w:top w:w="80" w:type="dxa"/>
              <w:bottom w:w="80" w:type="dxa"/>
              <w:left w:w="120" w:type="dxa"/>
              <w:right w:w="120" w:type="dxa"/>
            </w:tcMar>
          </w:tcPr>
          <w:p>
            <w:pPr>
              <w:spacing w:line="264" w:lineRule="auto" w:after="40"/>
            </w:pPr>
            <w:r>
              <w:rPr>
                <w:rFonts w:ascii="Calibri" w:hAnsi="Calibri"/>
                <w:color w:val="0F172A"/>
                <w:sz w:val="18"/>
              </w:rPr>
              <w:t>15</w:t>
            </w:r>
          </w:p>
        </w:tc>
        <w:tc>
          <w:tcPr>
            <w:tcW w:type="dxa" w:w="1440"/>
            <w:shd w:fill="FFFFFF"/>
            <w:tcMar>
              <w:top w:w="80" w:type="dxa"/>
              <w:bottom w:w="80" w:type="dxa"/>
              <w:left w:w="120" w:type="dxa"/>
              <w:right w:w="120" w:type="dxa"/>
            </w:tcMar>
          </w:tcPr>
          <w:p>
            <w:pPr>
              <w:spacing w:line="264" w:lineRule="auto" w:after="40"/>
            </w:pPr>
            <w:r>
              <w:rPr>
                <w:rFonts w:ascii="Calibri" w:hAnsi="Calibri"/>
                <w:color w:val="0F172A"/>
                <w:sz w:val="18"/>
              </w:rPr>
              <w:t>0</w:t>
            </w:r>
          </w:p>
        </w:tc>
        <w:tc>
          <w:tcPr>
            <w:tcW w:type="dxa" w:w="1728"/>
            <w:shd w:fill="FFFFFF"/>
            <w:tcMar>
              <w:top w:w="80" w:type="dxa"/>
              <w:bottom w:w="80" w:type="dxa"/>
              <w:left w:w="120" w:type="dxa"/>
              <w:right w:w="120" w:type="dxa"/>
            </w:tcMar>
          </w:tcPr>
          <w:p>
            <w:pPr>
              <w:spacing w:line="264" w:lineRule="auto" w:after="40"/>
            </w:pPr>
            <w:r>
              <w:rPr>
                <w:rFonts w:ascii="Calibri" w:hAnsi="Calibri"/>
                <w:b/>
                <w:color w:val="0F172A"/>
                <w:sz w:val="18"/>
              </w:rPr>
              <w:t>100%</w:t>
            </w:r>
          </w:p>
        </w:tc>
      </w:tr>
      <w:tr>
        <w:tc>
          <w:tcPr>
            <w:tcW w:type="dxa" w:w="3168"/>
            <w:shd w:fill="F8FAFC"/>
            <w:tcMar>
              <w:top w:w="80" w:type="dxa"/>
              <w:bottom w:w="80" w:type="dxa"/>
              <w:left w:w="120" w:type="dxa"/>
              <w:right w:w="120" w:type="dxa"/>
            </w:tcMar>
          </w:tcPr>
          <w:p>
            <w:pPr>
              <w:spacing w:line="264" w:lineRule="auto" w:after="40"/>
              <w:jc w:val="center"/>
            </w:pPr>
            <w:r>
              <w:rPr>
                <w:rFonts w:ascii="Calibri" w:hAnsi="Calibri"/>
                <w:color w:val="0F172A"/>
                <w:sz w:val="18"/>
              </w:rPr>
              <w:t>AI Module &amp; Validator Unit Tests</w:t>
            </w:r>
          </w:p>
        </w:tc>
        <w:tc>
          <w:tcPr>
            <w:tcW w:type="dxa" w:w="2016"/>
            <w:shd w:fill="F8FAFC"/>
            <w:tcMar>
              <w:top w:w="80" w:type="dxa"/>
              <w:bottom w:w="80" w:type="dxa"/>
              <w:left w:w="120" w:type="dxa"/>
              <w:right w:w="120" w:type="dxa"/>
            </w:tcMar>
          </w:tcPr>
          <w:p>
            <w:pPr>
              <w:spacing w:line="264" w:lineRule="auto" w:after="40"/>
            </w:pPr>
            <w:r>
              <w:rPr>
                <w:rFonts w:ascii="Calibri" w:hAnsi="Calibri"/>
                <w:color w:val="0F172A"/>
                <w:sz w:val="18"/>
              </w:rPr>
              <w:t>14 Tests</w:t>
            </w:r>
          </w:p>
        </w:tc>
        <w:tc>
          <w:tcPr>
            <w:tcW w:type="dxa" w:w="1440"/>
            <w:shd w:fill="F8FAFC"/>
            <w:tcMar>
              <w:top w:w="80" w:type="dxa"/>
              <w:bottom w:w="80" w:type="dxa"/>
              <w:left w:w="120" w:type="dxa"/>
              <w:right w:w="120" w:type="dxa"/>
            </w:tcMar>
          </w:tcPr>
          <w:p>
            <w:pPr>
              <w:spacing w:line="264" w:lineRule="auto" w:after="40"/>
            </w:pPr>
            <w:r>
              <w:rPr>
                <w:rFonts w:ascii="Calibri" w:hAnsi="Calibri"/>
                <w:color w:val="0F172A"/>
                <w:sz w:val="18"/>
              </w:rPr>
              <w:t>14</w:t>
            </w:r>
          </w:p>
        </w:tc>
        <w:tc>
          <w:tcPr>
            <w:tcW w:type="dxa" w:w="1440"/>
            <w:shd w:fill="F8FAFC"/>
            <w:tcMar>
              <w:top w:w="80" w:type="dxa"/>
              <w:bottom w:w="80" w:type="dxa"/>
              <w:left w:w="120" w:type="dxa"/>
              <w:right w:w="120" w:type="dxa"/>
            </w:tcMar>
          </w:tcPr>
          <w:p>
            <w:pPr>
              <w:spacing w:line="264" w:lineRule="auto" w:after="40"/>
            </w:pPr>
            <w:r>
              <w:rPr>
                <w:rFonts w:ascii="Calibri" w:hAnsi="Calibri"/>
                <w:color w:val="0F172A"/>
                <w:sz w:val="18"/>
              </w:rPr>
              <w:t>0</w:t>
            </w:r>
          </w:p>
        </w:tc>
        <w:tc>
          <w:tcPr>
            <w:tcW w:type="dxa" w:w="1728"/>
            <w:shd w:fill="F8FAFC"/>
            <w:tcMar>
              <w:top w:w="80" w:type="dxa"/>
              <w:bottom w:w="80" w:type="dxa"/>
              <w:left w:w="120" w:type="dxa"/>
              <w:right w:w="120" w:type="dxa"/>
            </w:tcMar>
          </w:tcPr>
          <w:p>
            <w:pPr>
              <w:spacing w:line="264" w:lineRule="auto" w:after="40"/>
            </w:pPr>
            <w:r>
              <w:rPr>
                <w:rFonts w:ascii="Calibri" w:hAnsi="Calibri"/>
                <w:b/>
                <w:color w:val="0F172A"/>
                <w:sz w:val="18"/>
              </w:rPr>
              <w:t>100%</w:t>
            </w:r>
          </w:p>
        </w:tc>
      </w:tr>
      <w:tr>
        <w:tc>
          <w:tcPr>
            <w:tcW w:type="dxa" w:w="3168"/>
            <w:shd w:fill="FFFFFF"/>
            <w:tcMar>
              <w:top w:w="80" w:type="dxa"/>
              <w:bottom w:w="80" w:type="dxa"/>
              <w:left w:w="120" w:type="dxa"/>
              <w:right w:w="120" w:type="dxa"/>
            </w:tcMar>
          </w:tcPr>
          <w:p>
            <w:pPr>
              <w:spacing w:line="264" w:lineRule="auto" w:after="40"/>
              <w:jc w:val="center"/>
            </w:pPr>
            <w:r>
              <w:rPr>
                <w:rFonts w:ascii="Calibri" w:hAnsi="Calibri"/>
                <w:color w:val="0F172A"/>
                <w:sz w:val="18"/>
              </w:rPr>
              <w:t>AI Fallback &amp; Edge Case Tests</w:t>
            </w:r>
          </w:p>
        </w:tc>
        <w:tc>
          <w:tcPr>
            <w:tcW w:type="dxa" w:w="2016"/>
            <w:shd w:fill="FFFFFF"/>
            <w:tcMar>
              <w:top w:w="80" w:type="dxa"/>
              <w:bottom w:w="80" w:type="dxa"/>
              <w:left w:w="120" w:type="dxa"/>
              <w:right w:w="120" w:type="dxa"/>
            </w:tcMar>
          </w:tcPr>
          <w:p>
            <w:pPr>
              <w:spacing w:line="264" w:lineRule="auto" w:after="40"/>
            </w:pPr>
            <w:r>
              <w:rPr>
                <w:rFonts w:ascii="Calibri" w:hAnsi="Calibri"/>
                <w:color w:val="0F172A"/>
                <w:sz w:val="18"/>
              </w:rPr>
              <w:t>8 Tests</w:t>
            </w:r>
          </w:p>
        </w:tc>
        <w:tc>
          <w:tcPr>
            <w:tcW w:type="dxa" w:w="1440"/>
            <w:shd w:fill="FFFFFF"/>
            <w:tcMar>
              <w:top w:w="80" w:type="dxa"/>
              <w:bottom w:w="80" w:type="dxa"/>
              <w:left w:w="120" w:type="dxa"/>
              <w:right w:w="120" w:type="dxa"/>
            </w:tcMar>
          </w:tcPr>
          <w:p>
            <w:pPr>
              <w:spacing w:line="264" w:lineRule="auto" w:after="40"/>
            </w:pPr>
            <w:r>
              <w:rPr>
                <w:rFonts w:ascii="Calibri" w:hAnsi="Calibri"/>
                <w:color w:val="0F172A"/>
                <w:sz w:val="18"/>
              </w:rPr>
              <w:t>8</w:t>
            </w:r>
          </w:p>
        </w:tc>
        <w:tc>
          <w:tcPr>
            <w:tcW w:type="dxa" w:w="1440"/>
            <w:shd w:fill="FFFFFF"/>
            <w:tcMar>
              <w:top w:w="80" w:type="dxa"/>
              <w:bottom w:w="80" w:type="dxa"/>
              <w:left w:w="120" w:type="dxa"/>
              <w:right w:w="120" w:type="dxa"/>
            </w:tcMar>
          </w:tcPr>
          <w:p>
            <w:pPr>
              <w:spacing w:line="264" w:lineRule="auto" w:after="40"/>
            </w:pPr>
            <w:r>
              <w:rPr>
                <w:rFonts w:ascii="Calibri" w:hAnsi="Calibri"/>
                <w:color w:val="0F172A"/>
                <w:sz w:val="18"/>
              </w:rPr>
              <w:t>0</w:t>
            </w:r>
          </w:p>
        </w:tc>
        <w:tc>
          <w:tcPr>
            <w:tcW w:type="dxa" w:w="1728"/>
            <w:shd w:fill="FFFFFF"/>
            <w:tcMar>
              <w:top w:w="80" w:type="dxa"/>
              <w:bottom w:w="80" w:type="dxa"/>
              <w:left w:w="120" w:type="dxa"/>
              <w:right w:w="120" w:type="dxa"/>
            </w:tcMar>
          </w:tcPr>
          <w:p>
            <w:pPr>
              <w:spacing w:line="264" w:lineRule="auto" w:after="40"/>
            </w:pPr>
            <w:r>
              <w:rPr>
                <w:rFonts w:ascii="Calibri" w:hAnsi="Calibri"/>
                <w:b/>
                <w:color w:val="0F172A"/>
                <w:sz w:val="18"/>
              </w:rPr>
              <w:t>100%</w:t>
            </w:r>
          </w:p>
        </w:tc>
      </w:tr>
      <w:tr>
        <w:tc>
          <w:tcPr>
            <w:tcW w:type="dxa" w:w="3168"/>
            <w:shd w:fill="F8FAFC"/>
            <w:tcMar>
              <w:top w:w="80" w:type="dxa"/>
              <w:bottom w:w="80" w:type="dxa"/>
              <w:left w:w="120" w:type="dxa"/>
              <w:right w:w="120" w:type="dxa"/>
            </w:tcMar>
          </w:tcPr>
          <w:p>
            <w:pPr>
              <w:spacing w:line="264" w:lineRule="auto" w:after="40"/>
              <w:jc w:val="center"/>
            </w:pPr>
            <w:r>
              <w:rPr>
                <w:rFonts w:ascii="Calibri" w:hAnsi="Calibri"/>
                <w:color w:val="0F172A"/>
                <w:sz w:val="18"/>
              </w:rPr>
              <w:t>TOTAL AUTOMATED SUITE</w:t>
            </w:r>
          </w:p>
        </w:tc>
        <w:tc>
          <w:tcPr>
            <w:tcW w:type="dxa" w:w="2016"/>
            <w:shd w:fill="F8FAFC"/>
            <w:tcMar>
              <w:top w:w="80" w:type="dxa"/>
              <w:bottom w:w="80" w:type="dxa"/>
              <w:left w:w="120" w:type="dxa"/>
              <w:right w:w="120" w:type="dxa"/>
            </w:tcMar>
          </w:tcPr>
          <w:p>
            <w:pPr>
              <w:spacing w:line="264" w:lineRule="auto" w:after="40"/>
            </w:pPr>
            <w:r>
              <w:rPr>
                <w:rFonts w:ascii="Calibri" w:hAnsi="Calibri"/>
                <w:color w:val="0F172A"/>
                <w:sz w:val="18"/>
              </w:rPr>
              <w:t>37 Tests</w:t>
            </w:r>
          </w:p>
        </w:tc>
        <w:tc>
          <w:tcPr>
            <w:tcW w:type="dxa" w:w="1440"/>
            <w:shd w:fill="F8FAFC"/>
            <w:tcMar>
              <w:top w:w="80" w:type="dxa"/>
              <w:bottom w:w="80" w:type="dxa"/>
              <w:left w:w="120" w:type="dxa"/>
              <w:right w:w="120" w:type="dxa"/>
            </w:tcMar>
          </w:tcPr>
          <w:p>
            <w:pPr>
              <w:spacing w:line="264" w:lineRule="auto" w:after="40"/>
            </w:pPr>
            <w:r>
              <w:rPr>
                <w:rFonts w:ascii="Calibri" w:hAnsi="Calibri"/>
                <w:color w:val="0F172A"/>
                <w:sz w:val="18"/>
              </w:rPr>
              <w:t>37</w:t>
            </w:r>
          </w:p>
        </w:tc>
        <w:tc>
          <w:tcPr>
            <w:tcW w:type="dxa" w:w="1440"/>
            <w:shd w:fill="F8FAFC"/>
            <w:tcMar>
              <w:top w:w="80" w:type="dxa"/>
              <w:bottom w:w="80" w:type="dxa"/>
              <w:left w:w="120" w:type="dxa"/>
              <w:right w:w="120" w:type="dxa"/>
            </w:tcMar>
          </w:tcPr>
          <w:p>
            <w:pPr>
              <w:spacing w:line="264" w:lineRule="auto" w:after="40"/>
            </w:pPr>
            <w:r>
              <w:rPr>
                <w:rFonts w:ascii="Calibri" w:hAnsi="Calibri"/>
                <w:color w:val="0F172A"/>
                <w:sz w:val="18"/>
              </w:rPr>
              <w:t>0</w:t>
            </w:r>
          </w:p>
        </w:tc>
        <w:tc>
          <w:tcPr>
            <w:tcW w:type="dxa" w:w="1728"/>
            <w:shd w:fill="F8FAFC"/>
            <w:tcMar>
              <w:top w:w="80" w:type="dxa"/>
              <w:bottom w:w="80" w:type="dxa"/>
              <w:left w:w="120" w:type="dxa"/>
              <w:right w:w="120" w:type="dxa"/>
            </w:tcMar>
          </w:tcPr>
          <w:p>
            <w:pPr>
              <w:spacing w:line="264" w:lineRule="auto" w:after="40"/>
            </w:pPr>
            <w:r>
              <w:rPr>
                <w:rFonts w:ascii="Calibri" w:hAnsi="Calibri"/>
                <w:color w:val="0F172A"/>
                <w:sz w:val="18"/>
              </w:rPr>
              <w:t>100% PASS RATE</w:t>
            </w:r>
          </w:p>
        </w:tc>
      </w:tr>
    </w:tbl>
    <w:p>
      <w:pPr>
        <w:spacing w:after="80"/>
      </w:pPr>
    </w:p>
    <w:p>
      <w:pPr>
        <w:keepNext/>
        <w:spacing w:before="240" w:after="80"/>
      </w:pPr>
      <w:r>
        <w:rPr>
          <w:b/>
          <w:color w:val="4F46E5"/>
          <w:sz w:val="26"/>
        </w:rPr>
        <w:t>7.2 Visual Grader &amp; Edge-Case Screenshots</w:t>
      </w:r>
    </w:p>
    <w:p>
      <w:pPr>
        <w:spacing w:before="160" w:after="80"/>
        <w:jc w:val="center"/>
      </w:pPr>
      <w:r>
        <w:drawing>
          <wp:inline xmlns:a="http://schemas.openxmlformats.org/drawingml/2006/main" xmlns:pic="http://schemas.openxmlformats.org/drawingml/2006/picture">
            <wp:extent cx="5029200" cy="2827544"/>
            <wp:docPr id="11" name="Picture 11"/>
            <wp:cNvGraphicFramePr>
              <a:graphicFrameLocks noChangeAspect="1"/>
            </wp:cNvGraphicFramePr>
            <a:graphic>
              <a:graphicData uri="http://schemas.openxmlformats.org/drawingml/2006/picture">
                <pic:pic>
                  <pic:nvPicPr>
                    <pic:cNvPr id="0" name="07_quiz_grading_evaluation.png"/>
                    <pic:cNvPicPr/>
                  </pic:nvPicPr>
                  <pic:blipFill>
                    <a:blip r:embed="rId21"/>
                    <a:stretch>
                      <a:fillRect/>
                    </a:stretch>
                  </pic:blipFill>
                  <pic:spPr>
                    <a:xfrm>
                      <a:off x="0" y="0"/>
                      <a:ext cx="5029200" cy="2827544"/>
                    </a:xfrm>
                    <a:prstGeom prst="rect"/>
                  </pic:spPr>
                </pic:pic>
              </a:graphicData>
            </a:graphic>
          </wp:inline>
        </w:drawing>
      </w:r>
    </w:p>
    <w:p>
      <w:pPr>
        <w:spacing w:after="160"/>
        <w:jc w:val="center"/>
      </w:pPr>
      <w:r>
        <w:rPr>
          <w:i/>
          <w:color w:val="64748B"/>
          <w:sz w:val="17"/>
        </w:rPr>
        <w:t>Figure 7.1: Interactive Quiz Grader Evaluating Answers (Score 2/3 with Green Correct &amp; Red Mistake Highlight)</w:t>
      </w:r>
    </w:p>
    <w:p>
      <w:pPr>
        <w:spacing w:before="160" w:after="80"/>
        <w:jc w:val="center"/>
      </w:pPr>
      <w:r>
        <w:drawing>
          <wp:inline xmlns:a="http://schemas.openxmlformats.org/drawingml/2006/main" xmlns:pic="http://schemas.openxmlformats.org/drawingml/2006/picture">
            <wp:extent cx="5029200" cy="2827544"/>
            <wp:docPr id="12" name="Picture 12"/>
            <wp:cNvGraphicFramePr>
              <a:graphicFrameLocks noChangeAspect="1"/>
            </wp:cNvGraphicFramePr>
            <a:graphic>
              <a:graphicData uri="http://schemas.openxmlformats.org/drawingml/2006/picture">
                <pic:pic>
                  <pic:nvPicPr>
                    <pic:cNvPr id="0" name="09_validation_error_state.png"/>
                    <pic:cNvPicPr/>
                  </pic:nvPicPr>
                  <pic:blipFill>
                    <a:blip r:embed="rId22"/>
                    <a:stretch>
                      <a:fillRect/>
                    </a:stretch>
                  </pic:blipFill>
                  <pic:spPr>
                    <a:xfrm>
                      <a:off x="0" y="0"/>
                      <a:ext cx="5029200" cy="2827544"/>
                    </a:xfrm>
                    <a:prstGeom prst="rect"/>
                  </pic:spPr>
                </pic:pic>
              </a:graphicData>
            </a:graphic>
          </wp:inline>
        </w:drawing>
      </w:r>
    </w:p>
    <w:p>
      <w:pPr>
        <w:spacing w:after="160"/>
        <w:jc w:val="center"/>
      </w:pPr>
      <w:r>
        <w:rPr>
          <w:i/>
          <w:color w:val="64748B"/>
          <w:sz w:val="17"/>
        </w:rPr>
        <w:t>Figure 7.2: Defensive Input Validation Intercepting Empty Question Submission</w:t>
      </w:r>
    </w:p>
    <w:p>
      <w:pPr>
        <w:spacing w:before="160" w:after="80"/>
        <w:jc w:val="center"/>
      </w:pPr>
      <w:r>
        <w:drawing>
          <wp:inline xmlns:a="http://schemas.openxmlformats.org/drawingml/2006/main" xmlns:pic="http://schemas.openxmlformats.org/drawingml/2006/picture">
            <wp:extent cx="2926080" cy="6332337"/>
            <wp:docPr id="13" name="Picture 13"/>
            <wp:cNvGraphicFramePr>
              <a:graphicFrameLocks noChangeAspect="1"/>
            </wp:cNvGraphicFramePr>
            <a:graphic>
              <a:graphicData uri="http://schemas.openxmlformats.org/drawingml/2006/picture">
                <pic:pic>
                  <pic:nvPicPr>
                    <pic:cNvPr id="0" name="13_mobile_learning_path.png"/>
                    <pic:cNvPicPr/>
                  </pic:nvPicPr>
                  <pic:blipFill>
                    <a:blip r:embed="rId23"/>
                    <a:stretch>
                      <a:fillRect/>
                    </a:stretch>
                  </pic:blipFill>
                  <pic:spPr>
                    <a:xfrm>
                      <a:off x="0" y="0"/>
                      <a:ext cx="2926080" cy="6332337"/>
                    </a:xfrm>
                    <a:prstGeom prst="rect"/>
                  </pic:spPr>
                </pic:pic>
              </a:graphicData>
            </a:graphic>
          </wp:inline>
        </w:drawing>
      </w:r>
    </w:p>
    <w:p>
      <w:pPr>
        <w:spacing w:after="160"/>
        <w:jc w:val="center"/>
      </w:pPr>
      <w:r>
        <w:rPr>
          <w:i/>
          <w:color w:val="64748B"/>
          <w:sz w:val="17"/>
        </w:rPr>
        <w:t>Figure 7.3: Mobile Viewport (390x844) Displaying Personalized SQL Learning Roadmap</w:t>
      </w:r>
    </w:p>
    <w:p>
      <w:pPr>
        <w:keepNext/>
        <w:spacing w:before="320" w:after="120"/>
      </w:pPr>
      <w:r>
        <w:rPr>
          <w:b/>
          <w:color w:val="1E1B4B"/>
          <w:sz w:val="32"/>
        </w:rPr>
        <w:t>Chapter 8: Limitations &amp; Boundary Analysis</w:t>
      </w:r>
    </w:p>
    <w:p>
      <w:pPr>
        <w:pStyle w:val="ListBullet"/>
        <w:spacing w:after="60" w:line="276" w:lineRule="auto"/>
      </w:pPr>
      <w:r>
        <w:rPr>
          <w:b/>
          <w:color w:val="0F172A"/>
          <w:sz w:val="20"/>
        </w:rPr>
        <w:t xml:space="preserve">1. Stateless Sessions: </w:t>
      </w:r>
      <w:r>
        <w:rPr>
          <w:color w:val="1E293B"/>
          <w:sz w:val="20"/>
        </w:rPr>
        <w:t>Current architecture is stateless; previous queries are not retained in a continuous chat session.</w:t>
      </w:r>
    </w:p>
    <w:p>
      <w:pPr>
        <w:pStyle w:val="ListBullet"/>
        <w:spacing w:after="60" w:line="276" w:lineRule="auto"/>
      </w:pPr>
      <w:r>
        <w:rPr>
          <w:b/>
          <w:color w:val="0F172A"/>
          <w:sz w:val="20"/>
        </w:rPr>
        <w:t xml:space="preserve">2. Offline Domain Coverage: </w:t>
      </w:r>
      <w:r>
        <w:rPr>
          <w:color w:val="1E293B"/>
          <w:sz w:val="20"/>
        </w:rPr>
        <w:t>Deterministic offline corpus currently provides high-fidelity responses for curated curriculum topics.</w:t>
      </w:r>
    </w:p>
    <w:p>
      <w:pPr>
        <w:pStyle w:val="ListBullet"/>
        <w:spacing w:after="60" w:line="276" w:lineRule="auto"/>
      </w:pPr>
      <w:r>
        <w:rPr>
          <w:b/>
          <w:color w:val="0F172A"/>
          <w:sz w:val="20"/>
        </w:rPr>
        <w:t xml:space="preserve">3. Monolingual Interface: </w:t>
      </w:r>
      <w:r>
        <w:rPr>
          <w:color w:val="1E293B"/>
          <w:sz w:val="20"/>
        </w:rPr>
        <w:t>Current interface and model prompts are optimized for English text.</w:t>
      </w:r>
    </w:p>
    <w:p>
      <w:pPr>
        <w:keepNext/>
        <w:spacing w:before="320" w:after="120"/>
      </w:pPr>
      <w:r>
        <w:rPr>
          <w:b/>
          <w:color w:val="1E1B4B"/>
          <w:sz w:val="32"/>
        </w:rPr>
        <w:t>Chapter 9: Future Enhancements</w:t>
      </w:r>
    </w:p>
    <w:p>
      <w:pPr>
        <w:pStyle w:val="ListBullet"/>
        <w:spacing w:after="60" w:line="276" w:lineRule="auto"/>
      </w:pPr>
      <w:r>
        <w:rPr>
          <w:b/>
          <w:color w:val="0F172A"/>
          <w:sz w:val="20"/>
        </w:rPr>
        <w:t xml:space="preserve">1. Multi-Turn Conversational Memory: </w:t>
      </w:r>
      <w:r>
        <w:rPr>
          <w:color w:val="1E293B"/>
          <w:sz w:val="20"/>
        </w:rPr>
        <w:t>Integrate SQLite / PostgreSQL to maintain multi-turn conversational history.</w:t>
      </w:r>
    </w:p>
    <w:p>
      <w:pPr>
        <w:pStyle w:val="ListBullet"/>
        <w:spacing w:after="60" w:line="276" w:lineRule="auto"/>
      </w:pPr>
      <w:r>
        <w:rPr>
          <w:b/>
          <w:color w:val="0F172A"/>
          <w:sz w:val="20"/>
        </w:rPr>
        <w:t xml:space="preserve">2. Voice STT/TTS Interaction: </w:t>
      </w:r>
      <w:r>
        <w:rPr>
          <w:color w:val="1E293B"/>
          <w:sz w:val="20"/>
        </w:rPr>
        <w:t>Incorporate Whisper STT and Kokoro/Bark TTS for voice-driven question answering.</w:t>
      </w:r>
    </w:p>
    <w:p>
      <w:pPr>
        <w:pStyle w:val="ListBullet"/>
        <w:spacing w:after="60" w:line="276" w:lineRule="auto"/>
      </w:pPr>
      <w:r>
        <w:rPr>
          <w:b/>
          <w:color w:val="0F172A"/>
          <w:sz w:val="20"/>
        </w:rPr>
        <w:t xml:space="preserve">3. PDF &amp; Syllabus Document Ingestion: </w:t>
      </w:r>
      <w:r>
        <w:rPr>
          <w:color w:val="1E293B"/>
          <w:sz w:val="20"/>
        </w:rPr>
        <w:t>Allow students to upload PDF textbooks and extract custom revision notes and exam quizzes automatically.</w:t>
      </w:r>
    </w:p>
    <w:p>
      <w:pPr>
        <w:pStyle w:val="ListBullet"/>
        <w:spacing w:after="60" w:line="276" w:lineRule="auto"/>
      </w:pPr>
      <w:r>
        <w:rPr>
          <w:b/>
          <w:color w:val="0F172A"/>
          <w:sz w:val="20"/>
        </w:rPr>
        <w:t xml:space="preserve">4. Multilingual Translation: </w:t>
      </w:r>
      <w:r>
        <w:rPr>
          <w:color w:val="1E293B"/>
          <w:sz w:val="20"/>
        </w:rPr>
        <w:t>Add multi-language localization supporting Spanish, Hindi, French, and Mandarin.</w:t>
      </w:r>
    </w:p>
    <w:p>
      <w:pPr>
        <w:keepNext/>
        <w:spacing w:before="320" w:after="120"/>
      </w:pPr>
      <w:r>
        <w:rPr>
          <w:b/>
          <w:color w:val="1E1B4B"/>
          <w:sz w:val="32"/>
        </w:rPr>
        <w:t>Chapter 10: Conclusion</w:t>
      </w:r>
    </w:p>
    <w:p>
      <w:pPr>
        <w:spacing w:after="80" w:line="276" w:lineRule="auto"/>
      </w:pPr>
      <w:r>
        <w:rPr>
          <w:i w:val="0"/>
          <w:color w:val="1E293B"/>
          <w:sz w:val="20"/>
        </w:rPr>
        <w:t>EduGenie demonstrates how modern Generative AI, when paired with thoughtful engineering, strict schema validation, and deterministic fallbacks, can deliver a resilient, high-impact educational experience. By solving the core problems of cognitive overload, abstract concept comprehension, and offline unreliability, EduGenie establishes a robust blueprint for next-generation AI learning tools.</w:t>
      </w:r>
    </w:p>
    <w:p>
      <w:pPr>
        <w:keepNext/>
        <w:spacing w:before="320" w:after="120"/>
      </w:pPr>
      <w:r>
        <w:rPr>
          <w:b/>
          <w:color w:val="1E1B4B"/>
          <w:sz w:val="32"/>
        </w:rPr>
        <w:t>References &amp; Bibliography</w:t>
      </w:r>
    </w:p>
    <w:p>
      <w:pPr>
        <w:pStyle w:val="ListBullet"/>
        <w:spacing w:after="60" w:line="276" w:lineRule="auto"/>
      </w:pPr>
      <w:r>
        <w:rPr>
          <w:color w:val="1E293B"/>
          <w:sz w:val="20"/>
        </w:rPr>
        <w:t>Google AI for Developers. 'Gemini API Documentation &amp; Python SDK Guides.' https://ai.google.dev/ (2026).</w:t>
      </w:r>
    </w:p>
    <w:p>
      <w:pPr>
        <w:pStyle w:val="ListBullet"/>
        <w:spacing w:after="60" w:line="276" w:lineRule="auto"/>
      </w:pPr>
      <w:r>
        <w:rPr>
          <w:color w:val="1E293B"/>
          <w:sz w:val="20"/>
        </w:rPr>
        <w:t>FastAPI Official Documentation. 'High Performance Web Framework with Python.' https://fastapi.tiangolo.com/ (2026).</w:t>
      </w:r>
    </w:p>
    <w:p>
      <w:pPr>
        <w:pStyle w:val="ListBullet"/>
        <w:spacing w:after="60" w:line="276" w:lineRule="auto"/>
      </w:pPr>
      <w:r>
        <w:rPr>
          <w:color w:val="1E293B"/>
          <w:sz w:val="20"/>
        </w:rPr>
        <w:t>MBZUAI. 'LaMini-Flan-T5-783M: A Diverse Herd of Small Instruction-Tuned Models.' HuggingFace Hub (2023).</w:t>
      </w:r>
    </w:p>
    <w:p>
      <w:pPr>
        <w:pStyle w:val="ListBullet"/>
        <w:spacing w:after="60" w:line="276" w:lineRule="auto"/>
      </w:pPr>
      <w:r>
        <w:rPr>
          <w:color w:val="1E293B"/>
          <w:sz w:val="20"/>
        </w:rPr>
        <w:t>Playwright Python Documentation. 'Reliable End-to-End Web Testing &amp; Automation.' Microsoft (2026).</w:t>
      </w:r>
    </w:p>
    <w:p>
      <w:pPr>
        <w:pStyle w:val="ListBullet"/>
        <w:spacing w:after="60" w:line="276" w:lineRule="auto"/>
      </w:pPr>
      <w:r>
        <w:rPr>
          <w:color w:val="1E293B"/>
          <w:sz w:val="20"/>
        </w:rPr>
        <w:t>Pytest Documentation. 'Simple, Scalable Testing in Python.' https://docs.pytest.org/ (2026).</w:t>
      </w:r>
    </w:p>
    <w:p>
      <w:pPr>
        <w:keepNext/>
        <w:spacing w:before="320" w:after="120"/>
      </w:pPr>
      <w:r>
        <w:rPr>
          <w:b/>
          <w:color w:val="1E1B4B"/>
          <w:sz w:val="32"/>
        </w:rPr>
        <w:t>Appendix A: Quickstart Setup Guide</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180" w:type="dxa"/>
              <w:right w:w="180" w:type="dxa"/>
            </w:tcMar>
          </w:tcPr>
          <w:p>
            <w:pPr>
              <w:spacing w:line="276" w:lineRule="auto"/>
            </w:pPr>
            <w:r>
              <w:rPr>
                <w:b/>
                <w:color w:val="4F46E5"/>
                <w:sz w:val="20"/>
              </w:rPr>
              <w:t>📌 QUICKSTART COMMANDS</w:t>
              <w:br/>
            </w:r>
            <w:r>
              <w:rPr>
                <w:color w:val="1E1B4B"/>
                <w:sz w:val="19"/>
              </w:rPr>
              <w:t># Clone repository</w:t>
              <w:br/>
              <w:t>cd /home/user/EduGenie</w:t>
              <w:br/>
              <w:br/>
              <w:t># Install Python packages</w:t>
              <w:br/>
              <w:t>pip install -r requirements.txt</w:t>
              <w:br/>
              <w:t>playwright install chromium</w:t>
              <w:br/>
              <w:br/>
              <w:t># Launch web application</w:t>
              <w:br/>
              <w:t>python3 -m uvicorn main:app --host 0.0.0.0 --port 8000</w:t>
              <w:br/>
              <w:br/>
              <w:t># Access in browser</w:t>
              <w:br/>
              <w:t>http://127.0.0.1:8000</w:t>
            </w:r>
          </w:p>
        </w:tc>
      </w:tr>
    </w:tbl>
    <w:p>
      <w:pPr>
        <w:spacing w:after="80"/>
      </w:pPr>
    </w:p>
    <w:p>
      <w:pPr>
        <w:keepNext/>
        <w:spacing w:before="320" w:after="120"/>
      </w:pPr>
      <w:r>
        <w:rPr>
          <w:b/>
          <w:color w:val="1E1B4B"/>
          <w:sz w:val="32"/>
        </w:rPr>
        <w:t>Appendix B: OpenAPI 3.0 Endpoints Specification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1B4B"/>
            <w:tcMar>
              <w:top w:w="120" w:type="dxa"/>
              <w:bottom w:w="120" w:type="dxa"/>
              <w:left w:w="150" w:type="dxa"/>
              <w:right w:w="150" w:type="dxa"/>
            </w:tcMar>
          </w:tcPr>
          <w:p>
            <w:pPr>
              <w:jc w:val="center"/>
            </w:pPr>
            <w:r>
              <w:rPr>
                <w:rFonts w:ascii="Calibri" w:hAnsi="Calibri"/>
                <w:b/>
                <w:color w:val="FFFFFF"/>
                <w:sz w:val="19"/>
              </w:rPr>
              <w:t>Endpoint</w:t>
            </w:r>
          </w:p>
        </w:tc>
        <w:tc>
          <w:tcPr>
            <w:tcW w:type="dxa" w:w="1440"/>
            <w:shd w:fill="1E1B4B"/>
            <w:tcMar>
              <w:top w:w="120" w:type="dxa"/>
              <w:bottom w:w="120" w:type="dxa"/>
              <w:left w:w="150" w:type="dxa"/>
              <w:right w:w="150" w:type="dxa"/>
            </w:tcMar>
          </w:tcPr>
          <w:p>
            <w:pPr>
              <w:jc w:val="center"/>
            </w:pPr>
            <w:r>
              <w:rPr>
                <w:rFonts w:ascii="Calibri" w:hAnsi="Calibri"/>
                <w:b/>
                <w:color w:val="FFFFFF"/>
                <w:sz w:val="19"/>
              </w:rPr>
              <w:t>HTTP Verb</w:t>
            </w:r>
          </w:p>
        </w:tc>
        <w:tc>
          <w:tcPr>
            <w:tcW w:type="dxa" w:w="3312"/>
            <w:shd w:fill="1E1B4B"/>
            <w:tcMar>
              <w:top w:w="120" w:type="dxa"/>
              <w:bottom w:w="120" w:type="dxa"/>
              <w:left w:w="150" w:type="dxa"/>
              <w:right w:w="150" w:type="dxa"/>
            </w:tcMar>
          </w:tcPr>
          <w:p>
            <w:pPr>
              <w:jc w:val="center"/>
            </w:pPr>
            <w:r>
              <w:rPr>
                <w:rFonts w:ascii="Calibri" w:hAnsi="Calibri"/>
                <w:b/>
                <w:color w:val="FFFFFF"/>
                <w:sz w:val="19"/>
              </w:rPr>
              <w:t>Description</w:t>
            </w:r>
          </w:p>
        </w:tc>
        <w:tc>
          <w:tcPr>
            <w:tcW w:type="dxa" w:w="2880"/>
            <w:shd w:fill="1E1B4B"/>
            <w:tcMar>
              <w:top w:w="120" w:type="dxa"/>
              <w:bottom w:w="120" w:type="dxa"/>
              <w:left w:w="150" w:type="dxa"/>
              <w:right w:w="150" w:type="dxa"/>
            </w:tcMar>
          </w:tcPr>
          <w:p>
            <w:pPr>
              <w:jc w:val="center"/>
            </w:pPr>
            <w:r>
              <w:rPr>
                <w:rFonts w:ascii="Calibri" w:hAnsi="Calibri"/>
                <w:b/>
                <w:color w:val="FFFFFF"/>
                <w:sz w:val="19"/>
              </w:rPr>
              <w:t>Expected Payload / Query</w:t>
            </w:r>
          </w:p>
        </w:tc>
      </w:tr>
      <w:tr>
        <w:tc>
          <w:tcPr>
            <w:tcW w:type="dxa" w:w="2160"/>
            <w:shd w:fill="FFFFFF"/>
            <w:tcMar>
              <w:top w:w="80" w:type="dxa"/>
              <w:bottom w:w="80" w:type="dxa"/>
              <w:left w:w="120" w:type="dxa"/>
              <w:right w:w="120" w:type="dxa"/>
            </w:tcMar>
          </w:tcPr>
          <w:p>
            <w:pPr>
              <w:spacing w:line="264" w:lineRule="auto" w:after="40"/>
              <w:jc w:val="center"/>
            </w:pPr>
            <w:r>
              <w:rPr>
                <w:rFonts w:ascii="Calibri" w:hAnsi="Calibri"/>
                <w:color w:val="0F172A"/>
                <w:sz w:val="18"/>
              </w:rPr>
              <w:t>/health</w:t>
            </w:r>
          </w:p>
        </w:tc>
        <w:tc>
          <w:tcPr>
            <w:tcW w:type="dxa" w:w="1440"/>
            <w:shd w:fill="FFFFFF"/>
            <w:tcMar>
              <w:top w:w="80" w:type="dxa"/>
              <w:bottom w:w="80" w:type="dxa"/>
              <w:left w:w="120" w:type="dxa"/>
              <w:right w:w="120" w:type="dxa"/>
            </w:tcMar>
          </w:tcPr>
          <w:p>
            <w:pPr>
              <w:spacing w:line="264" w:lineRule="auto" w:after="40"/>
            </w:pPr>
            <w:r>
              <w:rPr>
                <w:rFonts w:ascii="Calibri" w:hAnsi="Calibri"/>
                <w:color w:val="0F172A"/>
                <w:sz w:val="18"/>
              </w:rPr>
              <w:t>GET</w:t>
            </w:r>
          </w:p>
        </w:tc>
        <w:tc>
          <w:tcPr>
            <w:tcW w:type="dxa" w:w="3312"/>
            <w:shd w:fill="FFFFFF"/>
            <w:tcMar>
              <w:top w:w="80" w:type="dxa"/>
              <w:bottom w:w="80" w:type="dxa"/>
              <w:left w:w="120" w:type="dxa"/>
              <w:right w:w="120" w:type="dxa"/>
            </w:tcMar>
          </w:tcPr>
          <w:p>
            <w:pPr>
              <w:spacing w:line="264" w:lineRule="auto" w:after="40"/>
            </w:pPr>
            <w:r>
              <w:rPr>
                <w:rFonts w:ascii="Calibri" w:hAnsi="Calibri"/>
                <w:color w:val="0F172A"/>
                <w:sz w:val="18"/>
              </w:rPr>
              <w:t>System health and mode resolution</w:t>
            </w:r>
          </w:p>
        </w:tc>
        <w:tc>
          <w:tcPr>
            <w:tcW w:type="dxa" w:w="2880"/>
            <w:shd w:fill="FFFFFF"/>
            <w:tcMar>
              <w:top w:w="80" w:type="dxa"/>
              <w:bottom w:w="80" w:type="dxa"/>
              <w:left w:w="120" w:type="dxa"/>
              <w:right w:w="120" w:type="dxa"/>
            </w:tcMar>
          </w:tcPr>
          <w:p>
            <w:pPr>
              <w:spacing w:line="264" w:lineRule="auto" w:after="40"/>
            </w:pPr>
            <w:r>
              <w:rPr>
                <w:rFonts w:ascii="Calibri" w:hAnsi="Calibri"/>
                <w:color w:val="0F172A"/>
                <w:sz w:val="18"/>
              </w:rPr>
              <w:t>None</w:t>
            </w:r>
          </w:p>
        </w:tc>
      </w:tr>
      <w:tr>
        <w:tc>
          <w:tcPr>
            <w:tcW w:type="dxa" w:w="2160"/>
            <w:shd w:fill="F8FAFC"/>
            <w:tcMar>
              <w:top w:w="80" w:type="dxa"/>
              <w:bottom w:w="80" w:type="dxa"/>
              <w:left w:w="120" w:type="dxa"/>
              <w:right w:w="120" w:type="dxa"/>
            </w:tcMar>
          </w:tcPr>
          <w:p>
            <w:pPr>
              <w:spacing w:line="264" w:lineRule="auto" w:after="40"/>
              <w:jc w:val="center"/>
            </w:pPr>
            <w:r>
              <w:rPr>
                <w:rFonts w:ascii="Calibri" w:hAnsi="Calibri"/>
                <w:color w:val="0F172A"/>
                <w:sz w:val="18"/>
              </w:rPr>
              <w:t>/qa</w:t>
            </w:r>
          </w:p>
        </w:tc>
        <w:tc>
          <w:tcPr>
            <w:tcW w:type="dxa" w:w="1440"/>
            <w:shd w:fill="F8FAFC"/>
            <w:tcMar>
              <w:top w:w="80" w:type="dxa"/>
              <w:bottom w:w="80" w:type="dxa"/>
              <w:left w:w="120" w:type="dxa"/>
              <w:right w:w="120" w:type="dxa"/>
            </w:tcMar>
          </w:tcPr>
          <w:p>
            <w:pPr>
              <w:spacing w:line="264" w:lineRule="auto" w:after="40"/>
            </w:pPr>
            <w:r>
              <w:rPr>
                <w:rFonts w:ascii="Calibri" w:hAnsi="Calibri"/>
                <w:color w:val="0F172A"/>
                <w:sz w:val="18"/>
              </w:rPr>
              <w:t>GET</w:t>
            </w:r>
          </w:p>
        </w:tc>
        <w:tc>
          <w:tcPr>
            <w:tcW w:type="dxa" w:w="3312"/>
            <w:shd w:fill="F8FAFC"/>
            <w:tcMar>
              <w:top w:w="80" w:type="dxa"/>
              <w:bottom w:w="80" w:type="dxa"/>
              <w:left w:w="120" w:type="dxa"/>
              <w:right w:w="120" w:type="dxa"/>
            </w:tcMar>
          </w:tcPr>
          <w:p>
            <w:pPr>
              <w:spacing w:line="264" w:lineRule="auto" w:after="40"/>
            </w:pPr>
            <w:r>
              <w:rPr>
                <w:rFonts w:ascii="Calibri" w:hAnsi="Calibri"/>
                <w:color w:val="0F172A"/>
                <w:sz w:val="18"/>
              </w:rPr>
              <w:t>Smart factual question answering</w:t>
            </w:r>
          </w:p>
        </w:tc>
        <w:tc>
          <w:tcPr>
            <w:tcW w:type="dxa" w:w="2880"/>
            <w:shd w:fill="F8FAFC"/>
            <w:tcMar>
              <w:top w:w="80" w:type="dxa"/>
              <w:bottom w:w="80" w:type="dxa"/>
              <w:left w:w="120" w:type="dxa"/>
              <w:right w:w="120" w:type="dxa"/>
            </w:tcMar>
          </w:tcPr>
          <w:p>
            <w:pPr>
              <w:spacing w:line="264" w:lineRule="auto" w:after="40"/>
            </w:pPr>
            <w:r>
              <w:rPr>
                <w:rFonts w:ascii="Calibri" w:hAnsi="Calibri"/>
                <w:color w:val="0F172A"/>
                <w:sz w:val="18"/>
              </w:rPr>
              <w:t>?question=&lt;query_string&gt;</w:t>
            </w:r>
          </w:p>
        </w:tc>
      </w:tr>
      <w:tr>
        <w:tc>
          <w:tcPr>
            <w:tcW w:type="dxa" w:w="2160"/>
            <w:shd w:fill="FFFFFF"/>
            <w:tcMar>
              <w:top w:w="80" w:type="dxa"/>
              <w:bottom w:w="80" w:type="dxa"/>
              <w:left w:w="120" w:type="dxa"/>
              <w:right w:w="120" w:type="dxa"/>
            </w:tcMar>
          </w:tcPr>
          <w:p>
            <w:pPr>
              <w:spacing w:line="264" w:lineRule="auto" w:after="40"/>
              <w:jc w:val="center"/>
            </w:pPr>
            <w:r>
              <w:rPr>
                <w:rFonts w:ascii="Calibri" w:hAnsi="Calibri"/>
                <w:color w:val="0F172A"/>
                <w:sz w:val="18"/>
              </w:rPr>
              <w:t>/explain</w:t>
            </w:r>
          </w:p>
        </w:tc>
        <w:tc>
          <w:tcPr>
            <w:tcW w:type="dxa" w:w="1440"/>
            <w:shd w:fill="FFFFFF"/>
            <w:tcMar>
              <w:top w:w="80" w:type="dxa"/>
              <w:bottom w:w="80" w:type="dxa"/>
              <w:left w:w="120" w:type="dxa"/>
              <w:right w:w="120" w:type="dxa"/>
            </w:tcMar>
          </w:tcPr>
          <w:p>
            <w:pPr>
              <w:spacing w:line="264" w:lineRule="auto" w:after="40"/>
            </w:pPr>
            <w:r>
              <w:rPr>
                <w:rFonts w:ascii="Calibri" w:hAnsi="Calibri"/>
                <w:color w:val="0F172A"/>
                <w:sz w:val="18"/>
              </w:rPr>
              <w:t>POST</w:t>
            </w:r>
          </w:p>
        </w:tc>
        <w:tc>
          <w:tcPr>
            <w:tcW w:type="dxa" w:w="3312"/>
            <w:shd w:fill="FFFFFF"/>
            <w:tcMar>
              <w:top w:w="80" w:type="dxa"/>
              <w:bottom w:w="80" w:type="dxa"/>
              <w:left w:w="120" w:type="dxa"/>
              <w:right w:w="120" w:type="dxa"/>
            </w:tcMar>
          </w:tcPr>
          <w:p>
            <w:pPr>
              <w:spacing w:line="264" w:lineRule="auto" w:after="40"/>
            </w:pPr>
            <w:r>
              <w:rPr>
                <w:rFonts w:ascii="Calibri" w:hAnsi="Calibri"/>
                <w:color w:val="0F172A"/>
                <w:sz w:val="18"/>
              </w:rPr>
              <w:t>Concept simplification with analogies</w:t>
            </w:r>
          </w:p>
        </w:tc>
        <w:tc>
          <w:tcPr>
            <w:tcW w:type="dxa" w:w="2880"/>
            <w:shd w:fill="FFFFFF"/>
            <w:tcMar>
              <w:top w:w="80" w:type="dxa"/>
              <w:bottom w:w="80" w:type="dxa"/>
              <w:left w:w="120" w:type="dxa"/>
              <w:right w:w="120" w:type="dxa"/>
            </w:tcMar>
          </w:tcPr>
          <w:p>
            <w:pPr>
              <w:spacing w:line="264" w:lineRule="auto" w:after="40"/>
            </w:pPr>
            <w:r>
              <w:rPr>
                <w:rFonts w:ascii="Calibri" w:hAnsi="Calibri"/>
                <w:color w:val="0F172A"/>
                <w:sz w:val="18"/>
              </w:rPr>
              <w:t>{"topic":"&lt;string&gt;","backend":"gemini"|"local"}</w:t>
            </w:r>
          </w:p>
        </w:tc>
      </w:tr>
      <w:tr>
        <w:tc>
          <w:tcPr>
            <w:tcW w:type="dxa" w:w="2160"/>
            <w:shd w:fill="F8FAFC"/>
            <w:tcMar>
              <w:top w:w="80" w:type="dxa"/>
              <w:bottom w:w="80" w:type="dxa"/>
              <w:left w:w="120" w:type="dxa"/>
              <w:right w:w="120" w:type="dxa"/>
            </w:tcMar>
          </w:tcPr>
          <w:p>
            <w:pPr>
              <w:spacing w:line="264" w:lineRule="auto" w:after="40"/>
              <w:jc w:val="center"/>
            </w:pPr>
            <w:r>
              <w:rPr>
                <w:rFonts w:ascii="Calibri" w:hAnsi="Calibri"/>
                <w:color w:val="0F172A"/>
                <w:sz w:val="18"/>
              </w:rPr>
              <w:t>/quiz</w:t>
            </w:r>
          </w:p>
        </w:tc>
        <w:tc>
          <w:tcPr>
            <w:tcW w:type="dxa" w:w="1440"/>
            <w:shd w:fill="F8FAFC"/>
            <w:tcMar>
              <w:top w:w="80" w:type="dxa"/>
              <w:bottom w:w="80" w:type="dxa"/>
              <w:left w:w="120" w:type="dxa"/>
              <w:right w:w="120" w:type="dxa"/>
            </w:tcMar>
          </w:tcPr>
          <w:p>
            <w:pPr>
              <w:spacing w:line="264" w:lineRule="auto" w:after="40"/>
            </w:pPr>
            <w:r>
              <w:rPr>
                <w:rFonts w:ascii="Calibri" w:hAnsi="Calibri"/>
                <w:color w:val="0F172A"/>
                <w:sz w:val="18"/>
              </w:rPr>
              <w:t>POST</w:t>
            </w:r>
          </w:p>
        </w:tc>
        <w:tc>
          <w:tcPr>
            <w:tcW w:type="dxa" w:w="3312"/>
            <w:shd w:fill="F8FAFC"/>
            <w:tcMar>
              <w:top w:w="80" w:type="dxa"/>
              <w:bottom w:w="80" w:type="dxa"/>
              <w:left w:w="120" w:type="dxa"/>
              <w:right w:w="120" w:type="dxa"/>
            </w:tcMar>
          </w:tcPr>
          <w:p>
            <w:pPr>
              <w:spacing w:line="264" w:lineRule="auto" w:after="40"/>
            </w:pPr>
            <w:r>
              <w:rPr>
                <w:rFonts w:ascii="Calibri" w:hAnsi="Calibri"/>
                <w:color w:val="0F172A"/>
                <w:sz w:val="18"/>
              </w:rPr>
              <w:t>3-MCQ quiz generation with 4 options</w:t>
            </w:r>
          </w:p>
        </w:tc>
        <w:tc>
          <w:tcPr>
            <w:tcW w:type="dxa" w:w="2880"/>
            <w:shd w:fill="F8FAFC"/>
            <w:tcMar>
              <w:top w:w="80" w:type="dxa"/>
              <w:bottom w:w="80" w:type="dxa"/>
              <w:left w:w="120" w:type="dxa"/>
              <w:right w:w="120" w:type="dxa"/>
            </w:tcMar>
          </w:tcPr>
          <w:p>
            <w:pPr>
              <w:spacing w:line="264" w:lineRule="auto" w:after="40"/>
            </w:pPr>
            <w:r>
              <w:rPr>
                <w:rFonts w:ascii="Calibri" w:hAnsi="Calibri"/>
                <w:color w:val="0F172A"/>
                <w:sz w:val="18"/>
              </w:rPr>
              <w:t>{"topic":"&lt;string&gt;"} or {"text":"&lt;passage&gt;"}</w:t>
            </w:r>
          </w:p>
        </w:tc>
      </w:tr>
      <w:tr>
        <w:tc>
          <w:tcPr>
            <w:tcW w:type="dxa" w:w="2160"/>
            <w:shd w:fill="FFFFFF"/>
            <w:tcMar>
              <w:top w:w="80" w:type="dxa"/>
              <w:bottom w:w="80" w:type="dxa"/>
              <w:left w:w="120" w:type="dxa"/>
              <w:right w:w="120" w:type="dxa"/>
            </w:tcMar>
          </w:tcPr>
          <w:p>
            <w:pPr>
              <w:spacing w:line="264" w:lineRule="auto" w:after="40"/>
              <w:jc w:val="center"/>
            </w:pPr>
            <w:r>
              <w:rPr>
                <w:rFonts w:ascii="Calibri" w:hAnsi="Calibri"/>
                <w:color w:val="0F172A"/>
                <w:sz w:val="18"/>
              </w:rPr>
              <w:t>/summarize</w:t>
            </w:r>
          </w:p>
        </w:tc>
        <w:tc>
          <w:tcPr>
            <w:tcW w:type="dxa" w:w="1440"/>
            <w:shd w:fill="FFFFFF"/>
            <w:tcMar>
              <w:top w:w="80" w:type="dxa"/>
              <w:bottom w:w="80" w:type="dxa"/>
              <w:left w:w="120" w:type="dxa"/>
              <w:right w:w="120" w:type="dxa"/>
            </w:tcMar>
          </w:tcPr>
          <w:p>
            <w:pPr>
              <w:spacing w:line="264" w:lineRule="auto" w:after="40"/>
            </w:pPr>
            <w:r>
              <w:rPr>
                <w:rFonts w:ascii="Calibri" w:hAnsi="Calibri"/>
                <w:color w:val="0F172A"/>
                <w:sz w:val="18"/>
              </w:rPr>
              <w:t>POST</w:t>
            </w:r>
          </w:p>
        </w:tc>
        <w:tc>
          <w:tcPr>
            <w:tcW w:type="dxa" w:w="3312"/>
            <w:shd w:fill="FFFFFF"/>
            <w:tcMar>
              <w:top w:w="80" w:type="dxa"/>
              <w:bottom w:w="80" w:type="dxa"/>
              <w:left w:w="120" w:type="dxa"/>
              <w:right w:w="120" w:type="dxa"/>
            </w:tcMar>
          </w:tcPr>
          <w:p>
            <w:pPr>
              <w:spacing w:line="264" w:lineRule="auto" w:after="40"/>
            </w:pPr>
            <w:r>
              <w:rPr>
                <w:rFonts w:ascii="Calibri" w:hAnsi="Calibri"/>
                <w:color w:val="0F172A"/>
                <w:sz w:val="18"/>
              </w:rPr>
              <w:t>Textbook passage summarizer</w:t>
            </w:r>
          </w:p>
        </w:tc>
        <w:tc>
          <w:tcPr>
            <w:tcW w:type="dxa" w:w="2880"/>
            <w:shd w:fill="FFFFFF"/>
            <w:tcMar>
              <w:top w:w="80" w:type="dxa"/>
              <w:bottom w:w="80" w:type="dxa"/>
              <w:left w:w="120" w:type="dxa"/>
              <w:right w:w="120" w:type="dxa"/>
            </w:tcMar>
          </w:tcPr>
          <w:p>
            <w:pPr>
              <w:spacing w:line="264" w:lineRule="auto" w:after="40"/>
            </w:pPr>
            <w:r>
              <w:rPr>
                <w:rFonts w:ascii="Calibri" w:hAnsi="Calibri"/>
                <w:color w:val="0F172A"/>
                <w:sz w:val="18"/>
              </w:rPr>
              <w:t>{"text":"&lt;long_passage_string&gt;"}</w:t>
            </w:r>
          </w:p>
        </w:tc>
      </w:tr>
      <w:tr>
        <w:tc>
          <w:tcPr>
            <w:tcW w:type="dxa" w:w="2160"/>
            <w:shd w:fill="F8FAFC"/>
            <w:tcMar>
              <w:top w:w="80" w:type="dxa"/>
              <w:bottom w:w="80" w:type="dxa"/>
              <w:left w:w="120" w:type="dxa"/>
              <w:right w:w="120" w:type="dxa"/>
            </w:tcMar>
          </w:tcPr>
          <w:p>
            <w:pPr>
              <w:spacing w:line="264" w:lineRule="auto" w:after="40"/>
              <w:jc w:val="center"/>
            </w:pPr>
            <w:r>
              <w:rPr>
                <w:rFonts w:ascii="Calibri" w:hAnsi="Calibri"/>
                <w:color w:val="0F172A"/>
                <w:sz w:val="18"/>
              </w:rPr>
              <w:t>/learn/recommendations</w:t>
            </w:r>
          </w:p>
        </w:tc>
        <w:tc>
          <w:tcPr>
            <w:tcW w:type="dxa" w:w="1440"/>
            <w:shd w:fill="F8FAFC"/>
            <w:tcMar>
              <w:top w:w="80" w:type="dxa"/>
              <w:bottom w:w="80" w:type="dxa"/>
              <w:left w:w="120" w:type="dxa"/>
              <w:right w:w="120" w:type="dxa"/>
            </w:tcMar>
          </w:tcPr>
          <w:p>
            <w:pPr>
              <w:spacing w:line="264" w:lineRule="auto" w:after="40"/>
            </w:pPr>
            <w:r>
              <w:rPr>
                <w:rFonts w:ascii="Calibri" w:hAnsi="Calibri"/>
                <w:color w:val="0F172A"/>
                <w:sz w:val="18"/>
              </w:rPr>
              <w:t>GET</w:t>
            </w:r>
          </w:p>
        </w:tc>
        <w:tc>
          <w:tcPr>
            <w:tcW w:type="dxa" w:w="3312"/>
            <w:shd w:fill="F8FAFC"/>
            <w:tcMar>
              <w:top w:w="80" w:type="dxa"/>
              <w:bottom w:w="80" w:type="dxa"/>
              <w:left w:w="120" w:type="dxa"/>
              <w:right w:w="120" w:type="dxa"/>
            </w:tcMar>
          </w:tcPr>
          <w:p>
            <w:pPr>
              <w:spacing w:line="264" w:lineRule="auto" w:after="40"/>
            </w:pPr>
            <w:r>
              <w:rPr>
                <w:rFonts w:ascii="Calibri" w:hAnsi="Calibri"/>
                <w:color w:val="0F172A"/>
                <w:sz w:val="18"/>
              </w:rPr>
              <w:t>3-Stage learning roadmap</w:t>
            </w:r>
          </w:p>
        </w:tc>
        <w:tc>
          <w:tcPr>
            <w:tcW w:type="dxa" w:w="2880"/>
            <w:shd w:fill="F8FAFC"/>
            <w:tcMar>
              <w:top w:w="80" w:type="dxa"/>
              <w:bottom w:w="80" w:type="dxa"/>
              <w:left w:w="120" w:type="dxa"/>
              <w:right w:w="120" w:type="dxa"/>
            </w:tcMar>
          </w:tcPr>
          <w:p>
            <w:pPr>
              <w:spacing w:line="264" w:lineRule="auto" w:after="40"/>
            </w:pPr>
            <w:r>
              <w:rPr>
                <w:rFonts w:ascii="Calibri" w:hAnsi="Calibri"/>
                <w:color w:val="0F172A"/>
                <w:sz w:val="18"/>
              </w:rPr>
              <w:t>?topic=&lt;subject_string&gt;</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EduGenie Academic Capstone Project Report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6"/>
      </w:rPr>
      <w:t>EduGenie: Google Gemini Powered Learning Assistant • Final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