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left"/>
      </w:pPr>
      <w:r>
        <w:rPr>
          <w:b/>
          <w:color w:val="1E1B4B"/>
          <w:sz w:val="40"/>
        </w:rPr>
        <w:t>Phase 3: Project Design</w:t>
      </w:r>
    </w:p>
    <w:p>
      <w:pPr>
        <w:spacing w:after="160"/>
      </w:pPr>
      <w:r>
        <w:rPr>
          <w:color w:val="4F46E5"/>
          <w:sz w:val="22"/>
        </w:rPr>
        <w:t>System Architecture, Flowcharts, Data Models, and Prompt Engineering</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line="276" w:lineRule="auto"/>
            </w:pPr>
            <w:r>
              <w:rPr>
                <w:b/>
                <w:color w:val="4F46E5"/>
                <w:sz w:val="20"/>
              </w:rPr>
              <w:t>📌 DOCUMENT METADATA</w:t>
              <w:br/>
            </w:r>
            <w:r>
              <w:rPr>
                <w:color w:val="1E1B4B"/>
                <w:sz w:val="19"/>
              </w:rPr>
              <w:t>Project: EduGenie (Google Gemini Powered Learning Assistant)</w:t>
              <w:br/>
              <w:t>Framework: FastAPI ASGI • Runtime: Python 3.10+ / 3.13 • Frontend: Vanilla JS &amp; CSS3</w:t>
              <w:br/>
              <w:t>AI Models: Google Gemini (gemini-1.5-flash / pro) + Local MBZUAI/LaMini-Flan-T5-783M</w:t>
              <w:br/>
              <w:t>Verification: 37 Automated Pytest Test Cases (100% Pass) • Real Playwright Screenshots</w:t>
            </w:r>
          </w:p>
        </w:tc>
      </w:tr>
    </w:tbl>
    <w:p>
      <w:pPr>
        <w:spacing w:after="80"/>
      </w:pPr>
    </w:p>
    <w:p>
      <w:pPr>
        <w:keepNext/>
        <w:spacing w:before="320" w:after="120"/>
      </w:pPr>
      <w:r>
        <w:rPr>
          <w:b/>
          <w:color w:val="1E1B4B"/>
          <w:sz w:val="32"/>
        </w:rPr>
        <w:t>1. Architectural Diagrams &amp; Technical Analysis</w:t>
      </w:r>
    </w:p>
    <w:p>
      <w:pPr>
        <w:spacing w:before="160" w:after="80"/>
        <w:jc w:val="center"/>
      </w:pPr>
      <w:r>
        <w:drawing>
          <wp:inline xmlns:a="http://schemas.openxmlformats.org/drawingml/2006/main" xmlns:pic="http://schemas.openxmlformats.org/drawingml/2006/picture">
            <wp:extent cx="5486400" cy="3411711"/>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486400" cy="3411711"/>
                    </a:xfrm>
                    <a:prstGeom prst="rect"/>
                  </pic:spPr>
                </pic:pic>
              </a:graphicData>
            </a:graphic>
          </wp:inline>
        </w:drawing>
      </w:r>
    </w:p>
    <w:p>
      <w:pPr>
        <w:spacing w:after="160"/>
        <w:jc w:val="center"/>
      </w:pPr>
      <w:r>
        <w:rPr>
          <w:i/>
          <w:color w:val="64748B"/>
          <w:sz w:val="17"/>
        </w:rPr>
        <w:t>Figure 3.1: EduGenie Three-Tier System Architecture Diagram</w:t>
      </w:r>
    </w:p>
    <w:p>
      <w:pPr>
        <w:spacing w:after="80" w:line="276" w:lineRule="auto"/>
      </w:pPr>
      <w:r>
        <w:rPr>
          <w:i w:val="0"/>
          <w:color w:val="1E293B"/>
          <w:sz w:val="20"/>
        </w:rPr>
        <w:t>Figure 3.1 illustrates EduGenie's three-tier client-server architecture. The Presentation Tier consists of a lightweight HTML5/CSS3/JS single-page application. The Application Tier is powered by an asynchronous FastAPI ASGI engine on port 8000. The AI Inference Tier features a hybrid routing layer communicating with Google Gemini API, a local HuggingFace LaMini-Flan-T5 pipeline, and a deterministic offline knowledge generator for zero-downtime reliability.</w:t>
      </w:r>
    </w:p>
    <w:p>
      <w:pPr>
        <w:spacing w:before="160" w:after="80"/>
        <w:jc w:val="center"/>
      </w:pPr>
      <w:r>
        <w:drawing>
          <wp:inline xmlns:a="http://schemas.openxmlformats.org/drawingml/2006/main" xmlns:pic="http://schemas.openxmlformats.org/drawingml/2006/picture">
            <wp:extent cx="5029200" cy="4013200"/>
            <wp:docPr id="2" name="Picture 2"/>
            <wp:cNvGraphicFramePr>
              <a:graphicFrameLocks noChangeAspect="1"/>
            </wp:cNvGraphicFramePr>
            <a:graphic>
              <a:graphicData uri="http://schemas.openxmlformats.org/drawingml/2006/picture">
                <pic:pic>
                  <pic:nvPicPr>
                    <pic:cNvPr id="0" name="02_workflow_flowchart.png"/>
                    <pic:cNvPicPr/>
                  </pic:nvPicPr>
                  <pic:blipFill>
                    <a:blip r:embed="rId12"/>
                    <a:stretch>
                      <a:fillRect/>
                    </a:stretch>
                  </pic:blipFill>
                  <pic:spPr>
                    <a:xfrm>
                      <a:off x="0" y="0"/>
                      <a:ext cx="5029200" cy="4013200"/>
                    </a:xfrm>
                    <a:prstGeom prst="rect"/>
                  </pic:spPr>
                </pic:pic>
              </a:graphicData>
            </a:graphic>
          </wp:inline>
        </w:drawing>
      </w:r>
    </w:p>
    <w:p>
      <w:pPr>
        <w:spacing w:after="160"/>
        <w:jc w:val="center"/>
      </w:pPr>
      <w:r>
        <w:rPr>
          <w:i/>
          <w:color w:val="64748B"/>
          <w:sz w:val="17"/>
        </w:rPr>
        <w:t>Figure 3.2: End-to-End System Workflow Flowchart</w:t>
      </w:r>
    </w:p>
    <w:p>
      <w:pPr>
        <w:spacing w:after="80" w:line="276" w:lineRule="auto"/>
      </w:pPr>
      <w:r>
        <w:rPr>
          <w:i w:val="0"/>
          <w:color w:val="1E293B"/>
          <w:sz w:val="20"/>
        </w:rPr>
        <w:t>Figure 3.2 details the complete execution lifecycle of a user request. Inputs are validated by Pydantic schema guards. The engine dynamically selects the AI backend based on environment flags, cleans raw responses (stripping markdown code fences), validates the structure, and delivers rendered markdown or interactive quiz elements to the client.</w:t>
      </w:r>
    </w:p>
    <w:p>
      <w:pPr>
        <w:spacing w:before="160" w:after="80"/>
        <w:jc w:val="center"/>
      </w:pPr>
      <w:r>
        <w:drawing>
          <wp:inline xmlns:a="http://schemas.openxmlformats.org/drawingml/2006/main" xmlns:pic="http://schemas.openxmlformats.org/drawingml/2006/picture">
            <wp:extent cx="5303520" cy="4087116"/>
            <wp:docPr id="3" name="Picture 3"/>
            <wp:cNvGraphicFramePr>
              <a:graphicFrameLocks noChangeAspect="1"/>
            </wp:cNvGraphicFramePr>
            <a:graphic>
              <a:graphicData uri="http://schemas.openxmlformats.org/drawingml/2006/picture">
                <pic:pic>
                  <pic:nvPicPr>
                    <pic:cNvPr id="0" name="03_data_flow_diagram.png"/>
                    <pic:cNvPicPr/>
                  </pic:nvPicPr>
                  <pic:blipFill>
                    <a:blip r:embed="rId13"/>
                    <a:stretch>
                      <a:fillRect/>
                    </a:stretch>
                  </pic:blipFill>
                  <pic:spPr>
                    <a:xfrm>
                      <a:off x="0" y="0"/>
                      <a:ext cx="5303520" cy="4087116"/>
                    </a:xfrm>
                    <a:prstGeom prst="rect"/>
                  </pic:spPr>
                </pic:pic>
              </a:graphicData>
            </a:graphic>
          </wp:inline>
        </w:drawing>
      </w:r>
    </w:p>
    <w:p>
      <w:pPr>
        <w:spacing w:after="160"/>
        <w:jc w:val="center"/>
      </w:pPr>
      <w:r>
        <w:rPr>
          <w:i/>
          <w:color w:val="64748B"/>
          <w:sz w:val="17"/>
        </w:rPr>
        <w:t>Figure 3.3: Data Flow Diagrams (Level 0 Context and Level 1 Functional Decomposition)</w:t>
      </w:r>
    </w:p>
    <w:p>
      <w:pPr>
        <w:spacing w:after="80" w:line="276" w:lineRule="auto"/>
      </w:pPr>
      <w:r>
        <w:rPr>
          <w:i w:val="0"/>
          <w:color w:val="1E293B"/>
          <w:sz w:val="20"/>
        </w:rPr>
        <w:t>Figure 3.3 presents the data flow diagrams. Level 0 depicts external entities (Learner and Google Gemini Cloud) interacting with the central EduGenie process. Level 1 decomposes the application into five sub-processes: Input Validation (1.0), Route Management (2.0), Response Formatting (3.0), AI Generation (4.0), and Fallback Handling (5.0) linked to the offline rules repository.</w:t>
      </w:r>
    </w:p>
    <w:p>
      <w:pPr>
        <w:spacing w:before="160" w:after="80"/>
        <w:jc w:val="center"/>
      </w:pPr>
      <w:r>
        <w:drawing>
          <wp:inline xmlns:a="http://schemas.openxmlformats.org/drawingml/2006/main" xmlns:pic="http://schemas.openxmlformats.org/drawingml/2006/picture">
            <wp:extent cx="5029200" cy="3759200"/>
            <wp:docPr id="4" name="Picture 4"/>
            <wp:cNvGraphicFramePr>
              <a:graphicFrameLocks noChangeAspect="1"/>
            </wp:cNvGraphicFramePr>
            <a:graphic>
              <a:graphicData uri="http://schemas.openxmlformats.org/drawingml/2006/picture">
                <pic:pic>
                  <pic:nvPicPr>
                    <pic:cNvPr id="0" name="04_use_case_diagram.png"/>
                    <pic:cNvPicPr/>
                  </pic:nvPicPr>
                  <pic:blipFill>
                    <a:blip r:embed="rId14"/>
                    <a:stretch>
                      <a:fillRect/>
                    </a:stretch>
                  </pic:blipFill>
                  <pic:spPr>
                    <a:xfrm>
                      <a:off x="0" y="0"/>
                      <a:ext cx="5029200" cy="3759200"/>
                    </a:xfrm>
                    <a:prstGeom prst="rect"/>
                  </pic:spPr>
                </pic:pic>
              </a:graphicData>
            </a:graphic>
          </wp:inline>
        </w:drawing>
      </w:r>
    </w:p>
    <w:p>
      <w:pPr>
        <w:spacing w:after="160"/>
        <w:jc w:val="center"/>
      </w:pPr>
      <w:r>
        <w:rPr>
          <w:i/>
          <w:color w:val="64748B"/>
          <w:sz w:val="17"/>
        </w:rPr>
        <w:t>Figure 3.4: System Use Case Diagram with Actor Interactions</w:t>
      </w:r>
    </w:p>
    <w:p>
      <w:pPr>
        <w:spacing w:after="80" w:line="276" w:lineRule="auto"/>
      </w:pPr>
      <w:r>
        <w:rPr>
          <w:i w:val="0"/>
          <w:color w:val="1E293B"/>
          <w:sz w:val="20"/>
        </w:rPr>
        <w:t>Figure 3.4 models all interactions between the primary actor (Student/Learner) and the six primary system use cases: UC-01 (Ask Question), UC-02 (Explain Topic), UC-03 (Summarize Text), UC-04 (Take Interactive Quiz), UC-05 (View Learning Roadmap), and UC-06 (Monitor System Health).</w:t>
      </w:r>
    </w:p>
    <w:p>
      <w:pPr>
        <w:spacing w:before="160" w:after="80"/>
        <w:jc w:val="center"/>
      </w:pPr>
      <w:r>
        <w:drawing>
          <wp:inline xmlns:a="http://schemas.openxmlformats.org/drawingml/2006/main" xmlns:pic="http://schemas.openxmlformats.org/drawingml/2006/picture">
            <wp:extent cx="5303520" cy="3600555"/>
            <wp:docPr id="5" name="Picture 5"/>
            <wp:cNvGraphicFramePr>
              <a:graphicFrameLocks noChangeAspect="1"/>
            </wp:cNvGraphicFramePr>
            <a:graphic>
              <a:graphicData uri="http://schemas.openxmlformats.org/drawingml/2006/picture">
                <pic:pic>
                  <pic:nvPicPr>
                    <pic:cNvPr id="0" name="05_ai_generation_flow.png"/>
                    <pic:cNvPicPr/>
                  </pic:nvPicPr>
                  <pic:blipFill>
                    <a:blip r:embed="rId15"/>
                    <a:stretch>
                      <a:fillRect/>
                    </a:stretch>
                  </pic:blipFill>
                  <pic:spPr>
                    <a:xfrm>
                      <a:off x="0" y="0"/>
                      <a:ext cx="5303520" cy="3600555"/>
                    </a:xfrm>
                    <a:prstGeom prst="rect"/>
                  </pic:spPr>
                </pic:pic>
              </a:graphicData>
            </a:graphic>
          </wp:inline>
        </w:drawing>
      </w:r>
    </w:p>
    <w:p>
      <w:pPr>
        <w:spacing w:after="160"/>
        <w:jc w:val="center"/>
      </w:pPr>
      <w:r>
        <w:rPr>
          <w:i/>
          <w:color w:val="64748B"/>
          <w:sz w:val="17"/>
        </w:rPr>
        <w:t>Figure 3.5: AI Prompt Generation, Inference, and Strict JSON Schema Validation Pipeline</w:t>
      </w:r>
    </w:p>
    <w:p>
      <w:pPr>
        <w:spacing w:after="80" w:line="276" w:lineRule="auto"/>
      </w:pPr>
      <w:r>
        <w:rPr>
          <w:i w:val="0"/>
          <w:color w:val="1E293B"/>
          <w:sz w:val="20"/>
        </w:rPr>
        <w:t>Figure 3.5 outlines the prompt generation and validation pipeline. Prompt templates enforce structured outputs. A dedicated sanitizer strips markdown code fences, and a validator ensures exactly 3 MCQs with 4 options each, retrying once before falling back.</w:t>
      </w:r>
    </w:p>
    <w:p>
      <w:pPr>
        <w:spacing w:before="160" w:after="80"/>
        <w:jc w:val="center"/>
      </w:pPr>
      <w:r>
        <w:drawing>
          <wp:inline xmlns:a="http://schemas.openxmlformats.org/drawingml/2006/main" xmlns:pic="http://schemas.openxmlformats.org/drawingml/2006/picture">
            <wp:extent cx="5303520" cy="3600555"/>
            <wp:docPr id="6" name="Picture 6"/>
            <wp:cNvGraphicFramePr>
              <a:graphicFrameLocks noChangeAspect="1"/>
            </wp:cNvGraphicFramePr>
            <a:graphic>
              <a:graphicData uri="http://schemas.openxmlformats.org/drawingml/2006/picture">
                <pic:pic>
                  <pic:nvPicPr>
                    <pic:cNvPr id="0" name="06_fallback_flow.png"/>
                    <pic:cNvPicPr/>
                  </pic:nvPicPr>
                  <pic:blipFill>
                    <a:blip r:embed="rId16"/>
                    <a:stretch>
                      <a:fillRect/>
                    </a:stretch>
                  </pic:blipFill>
                  <pic:spPr>
                    <a:xfrm>
                      <a:off x="0" y="0"/>
                      <a:ext cx="5303520" cy="3600555"/>
                    </a:xfrm>
                    <a:prstGeom prst="rect"/>
                  </pic:spPr>
                </pic:pic>
              </a:graphicData>
            </a:graphic>
          </wp:inline>
        </w:drawing>
      </w:r>
    </w:p>
    <w:p>
      <w:pPr>
        <w:spacing w:after="160"/>
        <w:jc w:val="center"/>
      </w:pPr>
      <w:r>
        <w:rPr>
          <w:i/>
          <w:color w:val="64748B"/>
          <w:sz w:val="17"/>
        </w:rPr>
        <w:t>Figure 3.6: Fault-Tolerant Fallback &amp; Graceful Degradation Architecture</w:t>
      </w:r>
    </w:p>
    <w:p>
      <w:pPr>
        <w:spacing w:after="80" w:line="276" w:lineRule="auto"/>
      </w:pPr>
      <w:r>
        <w:rPr>
          <w:i w:val="0"/>
          <w:color w:val="1E293B"/>
          <w:sz w:val="20"/>
        </w:rPr>
        <w:t>Figure 3.6 demonstrates the zero-downtime fallback mechanism. When an API key is missing, or when an external API error occurs (e.g., HTTP 429 rate limits, connection timeouts, or malformed JSON), EduGenie routes the query to its verified deterministic generator.</w:t>
      </w:r>
    </w:p>
    <w:p>
      <w:pPr>
        <w:keepNext/>
        <w:spacing w:before="320" w:after="120"/>
      </w:pPr>
      <w:r>
        <w:rPr>
          <w:b/>
          <w:color w:val="1E1B4B"/>
          <w:sz w:val="32"/>
        </w:rPr>
        <w:t>2. API &amp; Route Design Specifications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1B4B"/>
            <w:tcMar>
              <w:top w:w="120" w:type="dxa"/>
              <w:bottom w:w="120" w:type="dxa"/>
              <w:left w:w="150" w:type="dxa"/>
              <w:right w:w="150" w:type="dxa"/>
            </w:tcMar>
          </w:tcPr>
          <w:p>
            <w:pPr>
              <w:jc w:val="center"/>
            </w:pPr>
            <w:r>
              <w:rPr>
                <w:rFonts w:ascii="Calibri" w:hAnsi="Calibri"/>
                <w:b/>
                <w:color w:val="FFFFFF"/>
                <w:sz w:val="19"/>
              </w:rPr>
              <w:t>Method</w:t>
            </w:r>
          </w:p>
        </w:tc>
        <w:tc>
          <w:tcPr>
            <w:tcW w:type="dxa" w:w="2016"/>
            <w:shd w:fill="1E1B4B"/>
            <w:tcMar>
              <w:top w:w="120" w:type="dxa"/>
              <w:bottom w:w="120" w:type="dxa"/>
              <w:left w:w="150" w:type="dxa"/>
              <w:right w:w="150" w:type="dxa"/>
            </w:tcMar>
          </w:tcPr>
          <w:p>
            <w:pPr>
              <w:jc w:val="center"/>
            </w:pPr>
            <w:r>
              <w:rPr>
                <w:rFonts w:ascii="Calibri" w:hAnsi="Calibri"/>
                <w:b/>
                <w:color w:val="FFFFFF"/>
                <w:sz w:val="19"/>
              </w:rPr>
              <w:t>Route</w:t>
            </w:r>
          </w:p>
        </w:tc>
        <w:tc>
          <w:tcPr>
            <w:tcW w:type="dxa" w:w="2880"/>
            <w:shd w:fill="1E1B4B"/>
            <w:tcMar>
              <w:top w:w="120" w:type="dxa"/>
              <w:bottom w:w="120" w:type="dxa"/>
              <w:left w:w="150" w:type="dxa"/>
              <w:right w:w="150" w:type="dxa"/>
            </w:tcMar>
          </w:tcPr>
          <w:p>
            <w:pPr>
              <w:jc w:val="center"/>
            </w:pPr>
            <w:r>
              <w:rPr>
                <w:rFonts w:ascii="Calibri" w:hAnsi="Calibri"/>
                <w:b/>
                <w:color w:val="FFFFFF"/>
                <w:sz w:val="19"/>
              </w:rPr>
              <w:t>Input Payload / Query</w:t>
            </w:r>
          </w:p>
        </w:tc>
        <w:tc>
          <w:tcPr>
            <w:tcW w:type="dxa" w:w="2304"/>
            <w:shd w:fill="1E1B4B"/>
            <w:tcMar>
              <w:top w:w="120" w:type="dxa"/>
              <w:bottom w:w="120" w:type="dxa"/>
              <w:left w:w="150" w:type="dxa"/>
              <w:right w:w="150" w:type="dxa"/>
            </w:tcMar>
          </w:tcPr>
          <w:p>
            <w:pPr>
              <w:jc w:val="center"/>
            </w:pPr>
            <w:r>
              <w:rPr>
                <w:rFonts w:ascii="Calibri" w:hAnsi="Calibri"/>
                <w:b/>
                <w:color w:val="FFFFFF"/>
                <w:sz w:val="19"/>
              </w:rPr>
              <w:t>Output Format</w:t>
            </w:r>
          </w:p>
        </w:tc>
        <w:tc>
          <w:tcPr>
            <w:tcW w:type="dxa" w:w="1296"/>
            <w:shd w:fill="1E1B4B"/>
            <w:tcMar>
              <w:top w:w="120" w:type="dxa"/>
              <w:bottom w:w="120" w:type="dxa"/>
              <w:left w:w="150" w:type="dxa"/>
              <w:right w:w="150" w:type="dxa"/>
            </w:tcMar>
          </w:tcPr>
          <w:p>
            <w:pPr>
              <w:jc w:val="center"/>
            </w:pPr>
            <w:r>
              <w:rPr>
                <w:rFonts w:ascii="Calibri" w:hAnsi="Calibri"/>
                <w:b/>
                <w:color w:val="FFFFFF"/>
                <w:sz w:val="19"/>
              </w:rPr>
              <w:t>Status</w:t>
            </w:r>
          </w:p>
        </w:tc>
      </w:tr>
      <w:tr>
        <w:tc>
          <w:tcPr>
            <w:tcW w:type="dxa" w:w="1152"/>
            <w:shd w:fill="FFFFFF"/>
            <w:tcMar>
              <w:top w:w="80" w:type="dxa"/>
              <w:bottom w:w="80" w:type="dxa"/>
              <w:left w:w="120" w:type="dxa"/>
              <w:right w:w="120" w:type="dxa"/>
            </w:tcMar>
          </w:tcPr>
          <w:p>
            <w:pPr>
              <w:spacing w:line="264" w:lineRule="auto" w:after="40"/>
              <w:jc w:val="center"/>
            </w:pPr>
            <w:r>
              <w:rPr>
                <w:rFonts w:ascii="Calibri" w:hAnsi="Calibri"/>
                <w:color w:val="0F172A"/>
                <w:sz w:val="18"/>
              </w:rPr>
              <w:t>GET</w:t>
            </w:r>
          </w:p>
        </w:tc>
        <w:tc>
          <w:tcPr>
            <w:tcW w:type="dxa" w:w="2016"/>
            <w:shd w:fill="FFFFFF"/>
            <w:tcMar>
              <w:top w:w="80" w:type="dxa"/>
              <w:bottom w:w="80" w:type="dxa"/>
              <w:left w:w="120" w:type="dxa"/>
              <w:right w:w="120" w:type="dxa"/>
            </w:tcMar>
          </w:tcPr>
          <w:p>
            <w:pPr>
              <w:spacing w:line="264" w:lineRule="auto" w:after="40"/>
            </w:pPr>
            <w:r>
              <w:rPr>
                <w:rFonts w:ascii="Calibri" w:hAnsi="Calibri"/>
                <w:color w:val="0F172A"/>
                <w:sz w:val="18"/>
              </w:rPr>
              <w:t>/</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None</w:t>
            </w:r>
          </w:p>
        </w:tc>
        <w:tc>
          <w:tcPr>
            <w:tcW w:type="dxa" w:w="2304"/>
            <w:shd w:fill="FFFFFF"/>
            <w:tcMar>
              <w:top w:w="80" w:type="dxa"/>
              <w:bottom w:w="80" w:type="dxa"/>
              <w:left w:w="120" w:type="dxa"/>
              <w:right w:w="120" w:type="dxa"/>
            </w:tcMar>
          </w:tcPr>
          <w:p>
            <w:pPr>
              <w:spacing w:line="264" w:lineRule="auto" w:after="40"/>
            </w:pPr>
            <w:r>
              <w:rPr>
                <w:rFonts w:ascii="Calibri" w:hAnsi="Calibri"/>
                <w:color w:val="0F172A"/>
                <w:sz w:val="18"/>
              </w:rPr>
              <w:t>HTML5 Single Page Dashboard</w:t>
            </w:r>
          </w:p>
        </w:tc>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200 OK</w:t>
            </w:r>
          </w:p>
        </w:tc>
      </w:tr>
      <w:tr>
        <w:tc>
          <w:tcPr>
            <w:tcW w:type="dxa" w:w="1152"/>
            <w:shd w:fill="F8FAFC"/>
            <w:tcMar>
              <w:top w:w="80" w:type="dxa"/>
              <w:bottom w:w="80" w:type="dxa"/>
              <w:left w:w="120" w:type="dxa"/>
              <w:right w:w="120" w:type="dxa"/>
            </w:tcMar>
          </w:tcPr>
          <w:p>
            <w:pPr>
              <w:spacing w:line="264" w:lineRule="auto" w:after="40"/>
              <w:jc w:val="center"/>
            </w:pPr>
            <w:r>
              <w:rPr>
                <w:rFonts w:ascii="Calibri" w:hAnsi="Calibri"/>
                <w:color w:val="0F172A"/>
                <w:sz w:val="18"/>
              </w:rPr>
              <w:t>GET</w:t>
            </w:r>
          </w:p>
        </w:tc>
        <w:tc>
          <w:tcPr>
            <w:tcW w:type="dxa" w:w="2016"/>
            <w:shd w:fill="F8FAFC"/>
            <w:tcMar>
              <w:top w:w="80" w:type="dxa"/>
              <w:bottom w:w="80" w:type="dxa"/>
              <w:left w:w="120" w:type="dxa"/>
              <w:right w:w="120" w:type="dxa"/>
            </w:tcMar>
          </w:tcPr>
          <w:p>
            <w:pPr>
              <w:spacing w:line="264" w:lineRule="auto" w:after="40"/>
            </w:pPr>
            <w:r>
              <w:rPr>
                <w:rFonts w:ascii="Calibri" w:hAnsi="Calibri"/>
                <w:color w:val="0F172A"/>
                <w:sz w:val="18"/>
              </w:rPr>
              <w:t>/health</w:t>
            </w:r>
          </w:p>
        </w:tc>
        <w:tc>
          <w:tcPr>
            <w:tcW w:type="dxa" w:w="2880"/>
            <w:shd w:fill="F8FAFC"/>
            <w:tcMar>
              <w:top w:w="80" w:type="dxa"/>
              <w:bottom w:w="80" w:type="dxa"/>
              <w:left w:w="120" w:type="dxa"/>
              <w:right w:w="120" w:type="dxa"/>
            </w:tcMar>
          </w:tcPr>
          <w:p>
            <w:pPr>
              <w:spacing w:line="264" w:lineRule="auto" w:after="40"/>
            </w:pPr>
            <w:r>
              <w:rPr>
                <w:rFonts w:ascii="Calibri" w:hAnsi="Calibri"/>
                <w:color w:val="0F172A"/>
                <w:sz w:val="18"/>
              </w:rPr>
              <w:t>None</w:t>
            </w:r>
          </w:p>
        </w:tc>
        <w:tc>
          <w:tcPr>
            <w:tcW w:type="dxa" w:w="2304"/>
            <w:shd w:fill="F8FAFC"/>
            <w:tcMar>
              <w:top w:w="80" w:type="dxa"/>
              <w:bottom w:w="80" w:type="dxa"/>
              <w:left w:w="120" w:type="dxa"/>
              <w:right w:w="120" w:type="dxa"/>
            </w:tcMar>
          </w:tcPr>
          <w:p>
            <w:pPr>
              <w:spacing w:line="264" w:lineRule="auto" w:after="40"/>
            </w:pPr>
            <w:r>
              <w:rPr>
                <w:rFonts w:ascii="Calibri" w:hAnsi="Calibri"/>
                <w:color w:val="0F172A"/>
                <w:sz w:val="18"/>
              </w:rPr>
              <w:t>{"status":"healthy","mode":"demo"|"live"}</w:t>
            </w:r>
          </w:p>
        </w:tc>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200 OK</w:t>
            </w:r>
          </w:p>
        </w:tc>
      </w:tr>
      <w:tr>
        <w:tc>
          <w:tcPr>
            <w:tcW w:type="dxa" w:w="1152"/>
            <w:shd w:fill="FFFFFF"/>
            <w:tcMar>
              <w:top w:w="80" w:type="dxa"/>
              <w:bottom w:w="80" w:type="dxa"/>
              <w:left w:w="120" w:type="dxa"/>
              <w:right w:w="120" w:type="dxa"/>
            </w:tcMar>
          </w:tcPr>
          <w:p>
            <w:pPr>
              <w:spacing w:line="264" w:lineRule="auto" w:after="40"/>
              <w:jc w:val="center"/>
            </w:pPr>
            <w:r>
              <w:rPr>
                <w:rFonts w:ascii="Calibri" w:hAnsi="Calibri"/>
                <w:color w:val="0F172A"/>
                <w:sz w:val="18"/>
              </w:rPr>
              <w:t>GET</w:t>
            </w:r>
          </w:p>
        </w:tc>
        <w:tc>
          <w:tcPr>
            <w:tcW w:type="dxa" w:w="2016"/>
            <w:shd w:fill="FFFFFF"/>
            <w:tcMar>
              <w:top w:w="80" w:type="dxa"/>
              <w:bottom w:w="80" w:type="dxa"/>
              <w:left w:w="120" w:type="dxa"/>
              <w:right w:w="120" w:type="dxa"/>
            </w:tcMar>
          </w:tcPr>
          <w:p>
            <w:pPr>
              <w:spacing w:line="264" w:lineRule="auto" w:after="40"/>
            </w:pPr>
            <w:r>
              <w:rPr>
                <w:rFonts w:ascii="Calibri" w:hAnsi="Calibri"/>
                <w:color w:val="0F172A"/>
                <w:sz w:val="18"/>
              </w:rPr>
              <w:t>/qa</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?question=&lt;str&gt;</w:t>
            </w:r>
          </w:p>
        </w:tc>
        <w:tc>
          <w:tcPr>
            <w:tcW w:type="dxa" w:w="2304"/>
            <w:shd w:fill="FFFFFF"/>
            <w:tcMar>
              <w:top w:w="80" w:type="dxa"/>
              <w:bottom w:w="80" w:type="dxa"/>
              <w:left w:w="120" w:type="dxa"/>
              <w:right w:w="120" w:type="dxa"/>
            </w:tcMar>
          </w:tcPr>
          <w:p>
            <w:pPr>
              <w:spacing w:line="264" w:lineRule="auto" w:after="40"/>
            </w:pPr>
            <w:r>
              <w:rPr>
                <w:rFonts w:ascii="Calibri" w:hAnsi="Calibri"/>
                <w:color w:val="0F172A"/>
                <w:sz w:val="18"/>
              </w:rPr>
              <w:t>{"question":"...","answer":"...","mode":"..."}</w:t>
            </w:r>
          </w:p>
        </w:tc>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200 / 400 / 422</w:t>
            </w:r>
          </w:p>
        </w:tc>
      </w:tr>
      <w:tr>
        <w:tc>
          <w:tcPr>
            <w:tcW w:type="dxa" w:w="1152"/>
            <w:shd w:fill="F8FAFC"/>
            <w:tcMar>
              <w:top w:w="80" w:type="dxa"/>
              <w:bottom w:w="80" w:type="dxa"/>
              <w:left w:w="120" w:type="dxa"/>
              <w:right w:w="120" w:type="dxa"/>
            </w:tcMar>
          </w:tcPr>
          <w:p>
            <w:pPr>
              <w:spacing w:line="264" w:lineRule="auto" w:after="40"/>
              <w:jc w:val="center"/>
            </w:pPr>
            <w:r>
              <w:rPr>
                <w:rFonts w:ascii="Calibri" w:hAnsi="Calibri"/>
                <w:color w:val="0F172A"/>
                <w:sz w:val="18"/>
              </w:rPr>
              <w:t>POST</w:t>
            </w:r>
          </w:p>
        </w:tc>
        <w:tc>
          <w:tcPr>
            <w:tcW w:type="dxa" w:w="2016"/>
            <w:shd w:fill="F8FAFC"/>
            <w:tcMar>
              <w:top w:w="80" w:type="dxa"/>
              <w:bottom w:w="80" w:type="dxa"/>
              <w:left w:w="120" w:type="dxa"/>
              <w:right w:w="120" w:type="dxa"/>
            </w:tcMar>
          </w:tcPr>
          <w:p>
            <w:pPr>
              <w:spacing w:line="264" w:lineRule="auto" w:after="40"/>
            </w:pPr>
            <w:r>
              <w:rPr>
                <w:rFonts w:ascii="Calibri" w:hAnsi="Calibri"/>
                <w:color w:val="0F172A"/>
                <w:sz w:val="18"/>
              </w:rPr>
              <w:t>/explain</w:t>
            </w:r>
          </w:p>
        </w:tc>
        <w:tc>
          <w:tcPr>
            <w:tcW w:type="dxa" w:w="2880"/>
            <w:shd w:fill="F8FAFC"/>
            <w:tcMar>
              <w:top w:w="80" w:type="dxa"/>
              <w:bottom w:w="80" w:type="dxa"/>
              <w:left w:w="120" w:type="dxa"/>
              <w:right w:w="120" w:type="dxa"/>
            </w:tcMar>
          </w:tcPr>
          <w:p>
            <w:pPr>
              <w:spacing w:line="264" w:lineRule="auto" w:after="40"/>
            </w:pPr>
            <w:r>
              <w:rPr>
                <w:rFonts w:ascii="Calibri" w:hAnsi="Calibri"/>
                <w:color w:val="0F172A"/>
                <w:sz w:val="18"/>
              </w:rPr>
              <w:t>{"topic":"...","backend":"gemini"|"local"}</w:t>
            </w:r>
          </w:p>
        </w:tc>
        <w:tc>
          <w:tcPr>
            <w:tcW w:type="dxa" w:w="2304"/>
            <w:shd w:fill="F8FAFC"/>
            <w:tcMar>
              <w:top w:w="80" w:type="dxa"/>
              <w:bottom w:w="80" w:type="dxa"/>
              <w:left w:w="120" w:type="dxa"/>
              <w:right w:w="120" w:type="dxa"/>
            </w:tcMar>
          </w:tcPr>
          <w:p>
            <w:pPr>
              <w:spacing w:line="264" w:lineRule="auto" w:after="40"/>
            </w:pPr>
            <w:r>
              <w:rPr>
                <w:rFonts w:ascii="Calibri" w:hAnsi="Calibri"/>
                <w:color w:val="0F172A"/>
                <w:sz w:val="18"/>
              </w:rPr>
              <w:t>{"topic":"...","explanation":"...","backend":"..."}</w:t>
            </w:r>
          </w:p>
        </w:tc>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200 / 400 / 422</w:t>
            </w:r>
          </w:p>
        </w:tc>
      </w:tr>
      <w:tr>
        <w:tc>
          <w:tcPr>
            <w:tcW w:type="dxa" w:w="1152"/>
            <w:shd w:fill="FFFFFF"/>
            <w:tcMar>
              <w:top w:w="80" w:type="dxa"/>
              <w:bottom w:w="80" w:type="dxa"/>
              <w:left w:w="120" w:type="dxa"/>
              <w:right w:w="120" w:type="dxa"/>
            </w:tcMar>
          </w:tcPr>
          <w:p>
            <w:pPr>
              <w:spacing w:line="264" w:lineRule="auto" w:after="40"/>
              <w:jc w:val="center"/>
            </w:pPr>
            <w:r>
              <w:rPr>
                <w:rFonts w:ascii="Calibri" w:hAnsi="Calibri"/>
                <w:color w:val="0F172A"/>
                <w:sz w:val="18"/>
              </w:rPr>
              <w:t>POST</w:t>
            </w:r>
          </w:p>
        </w:tc>
        <w:tc>
          <w:tcPr>
            <w:tcW w:type="dxa" w:w="2016"/>
            <w:shd w:fill="FFFFFF"/>
            <w:tcMar>
              <w:top w:w="80" w:type="dxa"/>
              <w:bottom w:w="80" w:type="dxa"/>
              <w:left w:w="120" w:type="dxa"/>
              <w:right w:w="120" w:type="dxa"/>
            </w:tcMar>
          </w:tcPr>
          <w:p>
            <w:pPr>
              <w:spacing w:line="264" w:lineRule="auto" w:after="40"/>
            </w:pPr>
            <w:r>
              <w:rPr>
                <w:rFonts w:ascii="Calibri" w:hAnsi="Calibri"/>
                <w:color w:val="0F172A"/>
                <w:sz w:val="18"/>
              </w:rPr>
              <w:t>/quiz</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{"topic":"..."} or {"text":"..."}</w:t>
            </w:r>
          </w:p>
        </w:tc>
        <w:tc>
          <w:tcPr>
            <w:tcW w:type="dxa" w:w="2304"/>
            <w:shd w:fill="FFFFFF"/>
            <w:tcMar>
              <w:top w:w="80" w:type="dxa"/>
              <w:bottom w:w="80" w:type="dxa"/>
              <w:left w:w="120" w:type="dxa"/>
              <w:right w:w="120" w:type="dxa"/>
            </w:tcMar>
          </w:tcPr>
          <w:p>
            <w:pPr>
              <w:spacing w:line="264" w:lineRule="auto" w:after="40"/>
            </w:pPr>
            <w:r>
              <w:rPr>
                <w:rFonts w:ascii="Calibri" w:hAnsi="Calibri"/>
                <w:color w:val="0F172A"/>
                <w:sz w:val="18"/>
              </w:rPr>
              <w:t>{"quiz":[{"question":"...","options":[...],"answer":"..."}]}</w:t>
            </w:r>
          </w:p>
        </w:tc>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200 / 400 / 422</w:t>
            </w:r>
          </w:p>
        </w:tc>
      </w:tr>
      <w:tr>
        <w:tc>
          <w:tcPr>
            <w:tcW w:type="dxa" w:w="1152"/>
            <w:shd w:fill="F8FAFC"/>
            <w:tcMar>
              <w:top w:w="80" w:type="dxa"/>
              <w:bottom w:w="80" w:type="dxa"/>
              <w:left w:w="120" w:type="dxa"/>
              <w:right w:w="120" w:type="dxa"/>
            </w:tcMar>
          </w:tcPr>
          <w:p>
            <w:pPr>
              <w:spacing w:line="264" w:lineRule="auto" w:after="40"/>
              <w:jc w:val="center"/>
            </w:pPr>
            <w:r>
              <w:rPr>
                <w:rFonts w:ascii="Calibri" w:hAnsi="Calibri"/>
                <w:color w:val="0F172A"/>
                <w:sz w:val="18"/>
              </w:rPr>
              <w:t>POST</w:t>
            </w:r>
          </w:p>
        </w:tc>
        <w:tc>
          <w:tcPr>
            <w:tcW w:type="dxa" w:w="2016"/>
            <w:shd w:fill="F8FAFC"/>
            <w:tcMar>
              <w:top w:w="80" w:type="dxa"/>
              <w:bottom w:w="80" w:type="dxa"/>
              <w:left w:w="120" w:type="dxa"/>
              <w:right w:w="120" w:type="dxa"/>
            </w:tcMar>
          </w:tcPr>
          <w:p>
            <w:pPr>
              <w:spacing w:line="264" w:lineRule="auto" w:after="40"/>
            </w:pPr>
            <w:r>
              <w:rPr>
                <w:rFonts w:ascii="Calibri" w:hAnsi="Calibri"/>
                <w:color w:val="0F172A"/>
                <w:sz w:val="18"/>
              </w:rPr>
              <w:t>/summarize</w:t>
            </w:r>
          </w:p>
        </w:tc>
        <w:tc>
          <w:tcPr>
            <w:tcW w:type="dxa" w:w="2880"/>
            <w:shd w:fill="F8FAFC"/>
            <w:tcMar>
              <w:top w:w="80" w:type="dxa"/>
              <w:bottom w:w="80" w:type="dxa"/>
              <w:left w:w="120" w:type="dxa"/>
              <w:right w:w="120" w:type="dxa"/>
            </w:tcMar>
          </w:tcPr>
          <w:p>
            <w:pPr>
              <w:spacing w:line="264" w:lineRule="auto" w:after="40"/>
            </w:pPr>
            <w:r>
              <w:rPr>
                <w:rFonts w:ascii="Calibri" w:hAnsi="Calibri"/>
                <w:color w:val="0F172A"/>
                <w:sz w:val="18"/>
              </w:rPr>
              <w:t>{"text":"..."}</w:t>
            </w:r>
          </w:p>
        </w:tc>
        <w:tc>
          <w:tcPr>
            <w:tcW w:type="dxa" w:w="2304"/>
            <w:shd w:fill="F8FAFC"/>
            <w:tcMar>
              <w:top w:w="80" w:type="dxa"/>
              <w:bottom w:w="80" w:type="dxa"/>
              <w:left w:w="120" w:type="dxa"/>
              <w:right w:w="120" w:type="dxa"/>
            </w:tcMar>
          </w:tcPr>
          <w:p>
            <w:pPr>
              <w:spacing w:line="264" w:lineRule="auto" w:after="40"/>
            </w:pPr>
            <w:r>
              <w:rPr>
                <w:rFonts w:ascii="Calibri" w:hAnsi="Calibri"/>
                <w:color w:val="0F172A"/>
                <w:sz w:val="18"/>
              </w:rPr>
              <w:t>{"summary":"...","original_length":...}</w:t>
            </w:r>
          </w:p>
        </w:tc>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200 / 400 / 422</w:t>
            </w:r>
          </w:p>
        </w:tc>
      </w:tr>
      <w:tr>
        <w:tc>
          <w:tcPr>
            <w:tcW w:type="dxa" w:w="1152"/>
            <w:shd w:fill="FFFFFF"/>
            <w:tcMar>
              <w:top w:w="80" w:type="dxa"/>
              <w:bottom w:w="80" w:type="dxa"/>
              <w:left w:w="120" w:type="dxa"/>
              <w:right w:w="120" w:type="dxa"/>
            </w:tcMar>
          </w:tcPr>
          <w:p>
            <w:pPr>
              <w:spacing w:line="264" w:lineRule="auto" w:after="40"/>
              <w:jc w:val="center"/>
            </w:pPr>
            <w:r>
              <w:rPr>
                <w:rFonts w:ascii="Calibri" w:hAnsi="Calibri"/>
                <w:color w:val="0F172A"/>
                <w:sz w:val="18"/>
              </w:rPr>
              <w:t>GET</w:t>
            </w:r>
          </w:p>
        </w:tc>
        <w:tc>
          <w:tcPr>
            <w:tcW w:type="dxa" w:w="2016"/>
            <w:shd w:fill="FFFFFF"/>
            <w:tcMar>
              <w:top w:w="80" w:type="dxa"/>
              <w:bottom w:w="80" w:type="dxa"/>
              <w:left w:w="120" w:type="dxa"/>
              <w:right w:w="120" w:type="dxa"/>
            </w:tcMar>
          </w:tcPr>
          <w:p>
            <w:pPr>
              <w:spacing w:line="264" w:lineRule="auto" w:after="40"/>
            </w:pPr>
            <w:r>
              <w:rPr>
                <w:rFonts w:ascii="Calibri" w:hAnsi="Calibri"/>
                <w:color w:val="0F172A"/>
                <w:sz w:val="18"/>
              </w:rPr>
              <w:t>/learn/recommendations</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?topic=&lt;str&gt;</w:t>
            </w:r>
          </w:p>
        </w:tc>
        <w:tc>
          <w:tcPr>
            <w:tcW w:type="dxa" w:w="2304"/>
            <w:shd w:fill="FFFFFF"/>
            <w:tcMar>
              <w:top w:w="80" w:type="dxa"/>
              <w:bottom w:w="80" w:type="dxa"/>
              <w:left w:w="120" w:type="dxa"/>
              <w:right w:w="120" w:type="dxa"/>
            </w:tcMar>
          </w:tcPr>
          <w:p>
            <w:pPr>
              <w:spacing w:line="264" w:lineRule="auto" w:after="40"/>
            </w:pPr>
            <w:r>
              <w:rPr>
                <w:rFonts w:ascii="Calibri" w:hAnsi="Calibri"/>
                <w:color w:val="0F172A"/>
                <w:sz w:val="18"/>
              </w:rPr>
              <w:t>{"topic":"...","recommendations":"..."}</w:t>
            </w:r>
          </w:p>
        </w:tc>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200 / 400 / 422</w:t>
            </w:r>
          </w:p>
        </w:tc>
      </w:tr>
    </w:tbl>
    <w:p>
      <w:pPr>
        <w:spacing w:after="80"/>
      </w:pPr>
    </w:p>
    <w:p>
      <w:pPr>
        <w:keepNext/>
        <w:spacing w:before="320" w:after="120"/>
      </w:pPr>
      <w:r>
        <w:rPr>
          <w:b/>
          <w:color w:val="1E1B4B"/>
          <w:sz w:val="32"/>
        </w:rPr>
        <w:t>3. Prompt Engineering Design</w:t>
      </w:r>
    </w:p>
    <w:p>
      <w:pPr>
        <w:spacing w:after="80" w:line="276" w:lineRule="auto"/>
      </w:pPr>
      <w:r>
        <w:rPr>
          <w:i w:val="0"/>
          <w:color w:val="1E293B"/>
          <w:sz w:val="20"/>
        </w:rPr>
        <w:t>Every module uses prompt engineering tailored for pedagogy:</w:t>
      </w:r>
    </w:p>
    <w:p>
      <w:pPr>
        <w:pStyle w:val="ListBullet"/>
        <w:spacing w:after="60" w:line="276" w:lineRule="auto"/>
      </w:pPr>
      <w:r>
        <w:rPr>
          <w:b/>
          <w:color w:val="0F172A"/>
          <w:sz w:val="20"/>
        </w:rPr>
        <w:t xml:space="preserve">QnA Prompt: </w:t>
      </w:r>
      <w:r>
        <w:rPr>
          <w:color w:val="1E293B"/>
          <w:sz w:val="20"/>
        </w:rPr>
        <w:t>'You are an expert educational tutor. Provide a smart, concise, and highly accurate answer (2 to 4 sentences) for: {question}'</w:t>
      </w:r>
    </w:p>
    <w:p>
      <w:pPr>
        <w:pStyle w:val="ListBullet"/>
        <w:spacing w:after="60" w:line="276" w:lineRule="auto"/>
      </w:pPr>
      <w:r>
        <w:rPr>
          <w:b/>
          <w:color w:val="0F172A"/>
          <w:sz w:val="20"/>
        </w:rPr>
        <w:t xml:space="preserve">Explainer Prompt: </w:t>
      </w:r>
      <w:r>
        <w:rPr>
          <w:color w:val="1E293B"/>
          <w:sz w:val="20"/>
        </w:rPr>
        <w:t>'You are a friendly teacher. Explain {topic} simply for a school student with definitions, real-world analogies, step-by-step logic, and why it matters.'</w:t>
      </w:r>
    </w:p>
    <w:p>
      <w:pPr>
        <w:pStyle w:val="ListBullet"/>
        <w:spacing w:after="60" w:line="276" w:lineRule="auto"/>
      </w:pPr>
      <w:r>
        <w:rPr>
          <w:b/>
          <w:color w:val="0F172A"/>
          <w:sz w:val="20"/>
        </w:rPr>
        <w:t xml:space="preserve">Quiz Prompt: </w:t>
      </w:r>
      <w:r>
        <w:rPr>
          <w:color w:val="1E293B"/>
          <w:sz w:val="20"/>
        </w:rPr>
        <w:t>'Generate exactly 3 MCQs in raw JSON array format with keys: question, options (4 strings), and answer (EXACT STRING matching one of the options).'</w:t>
      </w:r>
    </w:p>
    <w:p>
      <w:pPr>
        <w:pStyle w:val="ListBullet"/>
        <w:spacing w:after="60" w:line="276" w:lineRule="auto"/>
      </w:pPr>
      <w:r>
        <w:rPr>
          <w:b/>
          <w:color w:val="0F172A"/>
          <w:sz w:val="20"/>
        </w:rPr>
        <w:t xml:space="preserve">Summarizer Prompt: </w:t>
      </w:r>
      <w:r>
        <w:rPr>
          <w:color w:val="1E293B"/>
          <w:sz w:val="20"/>
        </w:rPr>
        <w:t>'Summarize the educational passage into clear study notes: 1-line overview, 4 bullet takeaways, and concluding significance.'</w:t>
      </w:r>
    </w:p>
    <w:p>
      <w:pPr>
        <w:pStyle w:val="ListBullet"/>
        <w:spacing w:after="60" w:line="276" w:lineRule="auto"/>
      </w:pPr>
      <w:r>
        <w:rPr>
          <w:b/>
          <w:color w:val="0F172A"/>
          <w:sz w:val="20"/>
        </w:rPr>
        <w:t xml:space="preserve">Learning Path Prompt: </w:t>
      </w:r>
      <w:r>
        <w:rPr>
          <w:color w:val="1E293B"/>
          <w:sz w:val="20"/>
        </w:rPr>
        <w:t>'Create a 3-stage roadmap for {topic} (Stage 1: Beginner, Stage 2: Intermediate, Stage 3: Advanced) with hours and interactive resources.'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Academic &amp; Internship Project Submission •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EduGenie: Google Gemini Powered Learning Assistant • Phase 3: Project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